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12EDD" w14:textId="4E433E76" w:rsidR="00261927" w:rsidRPr="008607B8" w:rsidRDefault="00261927" w:rsidP="0026192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8607B8">
        <w:rPr>
          <w:lang w:val="en-US"/>
        </w:rPr>
        <w:t>3GPP TSG-RAN WG2 #99bis</w:t>
      </w:r>
      <w:r w:rsidRPr="008607B8">
        <w:rPr>
          <w:lang w:val="en-US"/>
        </w:rPr>
        <w:tab/>
      </w:r>
      <w:r w:rsidR="009A426D" w:rsidRPr="008607B8">
        <w:rPr>
          <w:sz w:val="32"/>
          <w:szCs w:val="32"/>
          <w:lang w:val="en-US"/>
        </w:rPr>
        <w:t>R2-1711130</w:t>
      </w:r>
    </w:p>
    <w:p w14:paraId="0837A79B" w14:textId="112D50BD" w:rsidR="004131EE" w:rsidRDefault="00261927" w:rsidP="004131EE">
      <w:pPr>
        <w:pStyle w:val="3GPPHeader"/>
      </w:pPr>
      <w:r>
        <w:t>Prague</w:t>
      </w:r>
      <w:r w:rsidRPr="00631CA0">
        <w:t xml:space="preserve">, </w:t>
      </w:r>
      <w:r>
        <w:t>Czech Republic, 9</w:t>
      </w:r>
      <w:r w:rsidRPr="004E432D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  <w:r w:rsidR="004131EE">
        <w:tab/>
      </w:r>
    </w:p>
    <w:p w14:paraId="675033A1" w14:textId="77777777" w:rsidR="004D35CA" w:rsidRPr="0040036A" w:rsidRDefault="004D35CA" w:rsidP="004D35CA">
      <w:pPr>
        <w:pStyle w:val="3GPPHeader"/>
      </w:pPr>
    </w:p>
    <w:p w14:paraId="0AD9A872" w14:textId="4FDD0064" w:rsidR="004D35CA" w:rsidRPr="009A426D" w:rsidRDefault="004D35CA" w:rsidP="004D35CA">
      <w:pPr>
        <w:pStyle w:val="3GPPHeader"/>
        <w:rPr>
          <w:sz w:val="22"/>
          <w:szCs w:val="22"/>
          <w:lang w:val="en-US"/>
        </w:rPr>
      </w:pPr>
      <w:r w:rsidRPr="0040036A">
        <w:rPr>
          <w:sz w:val="22"/>
          <w:szCs w:val="22"/>
          <w:lang w:val="en-US"/>
        </w:rPr>
        <w:t>Agenda Item:</w:t>
      </w:r>
      <w:r w:rsidRPr="0040036A">
        <w:rPr>
          <w:sz w:val="22"/>
          <w:szCs w:val="22"/>
          <w:lang w:val="en-US"/>
        </w:rPr>
        <w:tab/>
      </w:r>
      <w:r w:rsidR="009A426D" w:rsidRPr="009A426D">
        <w:rPr>
          <w:sz w:val="22"/>
          <w:szCs w:val="22"/>
          <w:lang w:val="en-US"/>
        </w:rPr>
        <w:t>10.4.1.4.6</w:t>
      </w:r>
    </w:p>
    <w:p w14:paraId="5B1FC1AE" w14:textId="77777777" w:rsidR="004D35CA" w:rsidRPr="008C7695" w:rsidRDefault="004D35CA" w:rsidP="004D35CA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Source:</w:t>
      </w:r>
      <w:r w:rsidRPr="008C7695">
        <w:rPr>
          <w:sz w:val="22"/>
          <w:szCs w:val="22"/>
        </w:rPr>
        <w:tab/>
        <w:t>Ericsson</w:t>
      </w:r>
    </w:p>
    <w:p w14:paraId="0C80F3BD" w14:textId="3D6F7305" w:rsidR="002D5FB1" w:rsidRPr="008C7695" w:rsidRDefault="002D5FB1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Title:</w:t>
      </w:r>
      <w:r w:rsidRPr="008C7695">
        <w:rPr>
          <w:sz w:val="22"/>
          <w:szCs w:val="22"/>
        </w:rPr>
        <w:tab/>
      </w:r>
      <w:bookmarkStart w:id="1" w:name="_Hlk488532152"/>
      <w:r w:rsidR="00A96A48">
        <w:rPr>
          <w:sz w:val="22"/>
          <w:szCs w:val="22"/>
        </w:rPr>
        <w:t xml:space="preserve">Inclusion of </w:t>
      </w:r>
      <w:r w:rsidR="00A96A48" w:rsidRPr="00A96A48">
        <w:rPr>
          <w:sz w:val="22"/>
          <w:szCs w:val="22"/>
        </w:rPr>
        <w:t>NR SN serving cell measurements</w:t>
      </w:r>
      <w:r w:rsidR="00A96A48">
        <w:rPr>
          <w:sz w:val="22"/>
          <w:szCs w:val="22"/>
        </w:rPr>
        <w:t xml:space="preserve"> in LTE measurement reports</w:t>
      </w:r>
    </w:p>
    <w:bookmarkEnd w:id="1"/>
    <w:p w14:paraId="4A134FFC" w14:textId="77777777" w:rsidR="002D5FB1" w:rsidRPr="008C7695" w:rsidRDefault="002D5FB1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Document for:</w:t>
      </w:r>
      <w:r w:rsidRPr="008C7695">
        <w:rPr>
          <w:sz w:val="22"/>
          <w:szCs w:val="22"/>
        </w:rPr>
        <w:tab/>
        <w:t>Discussion, Decision</w:t>
      </w:r>
    </w:p>
    <w:p w14:paraId="61F04FF9" w14:textId="77777777" w:rsidR="002D5FB1" w:rsidRPr="008C7695" w:rsidRDefault="002D5FB1" w:rsidP="002D5FB1"/>
    <w:p w14:paraId="5B38E84F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r w:rsidRPr="008C7695">
        <w:t>Introduction</w:t>
      </w:r>
    </w:p>
    <w:p w14:paraId="35315A2A" w14:textId="1E8EDEE3" w:rsidR="000B09BE" w:rsidRDefault="000B09BE" w:rsidP="00D33615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RAN2#99, we agreed for the following FFS regarding the measurements</w:t>
      </w:r>
    </w:p>
    <w:p w14:paraId="06987EEC" w14:textId="77777777" w:rsidR="000B09BE" w:rsidRPr="000B09BE" w:rsidRDefault="000B09BE" w:rsidP="000B09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cs="Arial"/>
        </w:rPr>
      </w:pPr>
      <w:r w:rsidRPr="000B09BE">
        <w:rPr>
          <w:rFonts w:cs="Arial"/>
        </w:rPr>
        <w:t>Agreements</w:t>
      </w:r>
    </w:p>
    <w:p w14:paraId="6CCEC4FA" w14:textId="2349DD95" w:rsidR="000B09BE" w:rsidRDefault="000B09BE" w:rsidP="000B09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cs="Arial"/>
          <w:lang w:val="en-US"/>
        </w:rPr>
      </w:pPr>
      <w:r w:rsidRPr="000B09BE">
        <w:rPr>
          <w:rFonts w:cs="Arial"/>
        </w:rPr>
        <w:t>FFS Whether NR SN serving cell measurements are provided in LTE measurement reports.</w:t>
      </w:r>
    </w:p>
    <w:p w14:paraId="70F2FC04" w14:textId="468245CE" w:rsidR="00E61497" w:rsidRDefault="007F0921" w:rsidP="007F0921">
      <w:pPr>
        <w:pStyle w:val="BodyText"/>
        <w:rPr>
          <w:rFonts w:cs="Arial"/>
          <w:lang w:val="en-US"/>
        </w:rPr>
      </w:pPr>
      <w:r w:rsidRPr="00BF74FD">
        <w:rPr>
          <w:rFonts w:cs="Arial"/>
          <w:lang w:val="en-US"/>
        </w:rPr>
        <w:t>I</w:t>
      </w:r>
      <w:r>
        <w:rPr>
          <w:rFonts w:cs="Arial"/>
          <w:lang w:val="en-US"/>
        </w:rPr>
        <w:t xml:space="preserve">n this contribution, we will </w:t>
      </w:r>
      <w:r w:rsidR="00520BD8">
        <w:rPr>
          <w:rFonts w:cs="Arial"/>
          <w:lang w:val="en-US"/>
        </w:rPr>
        <w:t xml:space="preserve">discuss whether there is need for </w:t>
      </w:r>
      <w:r w:rsidR="008431B9">
        <w:rPr>
          <w:rFonts w:cs="Arial"/>
          <w:lang w:val="en-US"/>
        </w:rPr>
        <w:t>the inclusion of NR SN serving cell measurements in LTE measurement reports.</w:t>
      </w:r>
    </w:p>
    <w:p w14:paraId="3624DC25" w14:textId="4AD6890B" w:rsidR="002D5FB1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2" w:name="_Ref178064866"/>
      <w:r w:rsidRPr="002849FE">
        <w:t>Discussion</w:t>
      </w:r>
      <w:bookmarkEnd w:id="2"/>
    </w:p>
    <w:p w14:paraId="7AA53166" w14:textId="4C68A83B" w:rsidR="0045197C" w:rsidRDefault="00C87DA1" w:rsidP="008431B9">
      <w:r>
        <w:rPr>
          <w:rFonts w:cs="Arial"/>
          <w:lang w:val="en-US"/>
        </w:rPr>
        <w:t>I</w:t>
      </w:r>
      <w:r w:rsidR="00FE1237">
        <w:rPr>
          <w:rFonts w:cs="Arial"/>
          <w:lang w:val="en-US"/>
        </w:rPr>
        <w:t xml:space="preserve">n RAN2#99, we agreed </w:t>
      </w:r>
      <w:r w:rsidR="0045197C">
        <w:rPr>
          <w:rFonts w:cs="Arial"/>
          <w:lang w:val="en-US"/>
        </w:rPr>
        <w:t>for EN-DC</w:t>
      </w:r>
      <w:r w:rsidR="00E6460A">
        <w:rPr>
          <w:rFonts w:cs="Arial"/>
          <w:lang w:val="en-US"/>
        </w:rPr>
        <w:t xml:space="preserve"> that</w:t>
      </w:r>
      <w:r w:rsidR="00FE1237">
        <w:rPr>
          <w:rFonts w:cs="Arial"/>
          <w:lang w:val="en-US"/>
        </w:rPr>
        <w:t xml:space="preserve"> </w:t>
      </w:r>
      <w:r w:rsidR="008607B8">
        <w:rPr>
          <w:rFonts w:cs="Arial"/>
          <w:lang w:val="en-US"/>
        </w:rPr>
        <w:t xml:space="preserve">the </w:t>
      </w:r>
      <w:r w:rsidR="00FE1237" w:rsidRPr="00FE1237">
        <w:t xml:space="preserve">UE receives independent measurement configuration from MN and SN. </w:t>
      </w:r>
      <w:r w:rsidR="005D71BC">
        <w:t xml:space="preserve">Also, </w:t>
      </w:r>
      <w:r w:rsidR="008607B8">
        <w:t xml:space="preserve">the </w:t>
      </w:r>
      <w:r w:rsidR="00FE1237" w:rsidRPr="00FE1237">
        <w:t>UE does not do any mani</w:t>
      </w:r>
      <w:r w:rsidR="008607B8">
        <w:t xml:space="preserve">pulation of parameters </w:t>
      </w:r>
      <w:r w:rsidR="00FE1237" w:rsidRPr="00FE1237">
        <w:t>to make the measurements</w:t>
      </w:r>
      <w:r w:rsidR="008607B8">
        <w:t xml:space="preserve"> configurations consistent. That is</w:t>
      </w:r>
      <w:r w:rsidR="005D71BC">
        <w:t xml:space="preserve">, </w:t>
      </w:r>
      <w:r w:rsidR="00FE1237">
        <w:t>the</w:t>
      </w:r>
      <w:r w:rsidR="00FE1237" w:rsidRPr="00FE1237">
        <w:t xml:space="preserve"> netwo</w:t>
      </w:r>
      <w:r w:rsidR="00FE1237">
        <w:t>rk is responsible to ensure the configured meas</w:t>
      </w:r>
      <w:r w:rsidR="005D71BC">
        <w:t>urement objects</w:t>
      </w:r>
      <w:r w:rsidR="00FE1237" w:rsidRPr="00FE1237">
        <w:t xml:space="preserve"> are consistent if it wants to ensure these are considere</w:t>
      </w:r>
      <w:r w:rsidR="00FE1237">
        <w:t>d as a single measurement layer.</w:t>
      </w:r>
      <w:r w:rsidR="005D71BC">
        <w:t xml:space="preserve"> </w:t>
      </w:r>
    </w:p>
    <w:p w14:paraId="4088A5AC" w14:textId="59B76133" w:rsidR="008431B9" w:rsidRDefault="008607B8" w:rsidP="008431B9">
      <w:pPr>
        <w:rPr>
          <w:lang w:eastAsia="en-US"/>
        </w:rPr>
      </w:pPr>
      <w:r>
        <w:rPr>
          <w:lang w:eastAsia="en-US"/>
        </w:rPr>
        <w:t>Given this</w:t>
      </w:r>
      <w:r w:rsidR="005D71BC">
        <w:rPr>
          <w:lang w:eastAsia="en-US"/>
        </w:rPr>
        <w:t xml:space="preserve"> working</w:t>
      </w:r>
      <w:r w:rsidR="0045197C">
        <w:rPr>
          <w:lang w:eastAsia="en-US"/>
        </w:rPr>
        <w:t xml:space="preserve"> assumption</w:t>
      </w:r>
      <w:r w:rsidR="005D71BC">
        <w:rPr>
          <w:lang w:eastAsia="en-US"/>
        </w:rPr>
        <w:t xml:space="preserve">, </w:t>
      </w:r>
      <w:r w:rsidR="00E6460A">
        <w:rPr>
          <w:lang w:eastAsia="en-US"/>
        </w:rPr>
        <w:t xml:space="preserve">there is no restriction that </w:t>
      </w:r>
      <w:r w:rsidR="0045197C">
        <w:rPr>
          <w:lang w:eastAsia="en-US"/>
        </w:rPr>
        <w:t xml:space="preserve">MN/SN can </w:t>
      </w:r>
      <w:r w:rsidR="00E6460A">
        <w:rPr>
          <w:lang w:eastAsia="en-US"/>
        </w:rPr>
        <w:t xml:space="preserve">independently </w:t>
      </w:r>
      <w:r w:rsidR="0045197C">
        <w:rPr>
          <w:lang w:eastAsia="en-US"/>
        </w:rPr>
        <w:t>add/remove a measurement object</w:t>
      </w:r>
      <w:r w:rsidR="00E6460A">
        <w:rPr>
          <w:lang w:eastAsia="en-US"/>
        </w:rPr>
        <w:t xml:space="preserve"> e.g.,</w:t>
      </w:r>
      <w:r w:rsidR="0045197C">
        <w:rPr>
          <w:lang w:eastAsia="en-US"/>
        </w:rPr>
        <w:t xml:space="preserve"> </w:t>
      </w:r>
      <w:r w:rsidR="00E6460A">
        <w:rPr>
          <w:lang w:eastAsia="en-US"/>
        </w:rPr>
        <w:t xml:space="preserve">on the same frequency. Accordingly, </w:t>
      </w:r>
      <w:r>
        <w:rPr>
          <w:lang w:eastAsia="en-US"/>
        </w:rPr>
        <w:t xml:space="preserve">a </w:t>
      </w:r>
      <w:r w:rsidR="00E6460A">
        <w:rPr>
          <w:lang w:eastAsia="en-US"/>
        </w:rPr>
        <w:t xml:space="preserve">UE can report measurements on the same frequencies to </w:t>
      </w:r>
      <w:r>
        <w:rPr>
          <w:lang w:eastAsia="en-US"/>
        </w:rPr>
        <w:t xml:space="preserve">the </w:t>
      </w:r>
      <w:r w:rsidR="00E6460A">
        <w:rPr>
          <w:lang w:eastAsia="en-US"/>
        </w:rPr>
        <w:t>MN and SN when triggered.</w:t>
      </w:r>
      <w:r w:rsidR="0045197C">
        <w:rPr>
          <w:lang w:eastAsia="en-US"/>
        </w:rPr>
        <w:t xml:space="preserve"> O</w:t>
      </w:r>
      <w:r w:rsidR="00E6460A">
        <w:rPr>
          <w:lang w:eastAsia="en-US"/>
        </w:rPr>
        <w:t xml:space="preserve">n the other hand, it is open </w:t>
      </w:r>
      <w:r w:rsidR="0045197C">
        <w:rPr>
          <w:lang w:eastAsia="en-US"/>
        </w:rPr>
        <w:t>whether N</w:t>
      </w:r>
      <w:r w:rsidR="0045197C" w:rsidRPr="0045197C">
        <w:rPr>
          <w:lang w:eastAsia="en-US"/>
        </w:rPr>
        <w:t>R serving cell measurements are provided in LTE measurement reports</w:t>
      </w:r>
      <w:r w:rsidR="0045197C">
        <w:rPr>
          <w:lang w:eastAsia="en-US"/>
        </w:rPr>
        <w:t xml:space="preserve"> when </w:t>
      </w:r>
      <w:r w:rsidR="00E6460A">
        <w:rPr>
          <w:lang w:eastAsia="en-US"/>
        </w:rPr>
        <w:t xml:space="preserve">both </w:t>
      </w:r>
      <w:r w:rsidR="0045197C">
        <w:rPr>
          <w:lang w:eastAsia="en-US"/>
        </w:rPr>
        <w:t xml:space="preserve">MN </w:t>
      </w:r>
      <w:r>
        <w:rPr>
          <w:lang w:eastAsia="en-US"/>
        </w:rPr>
        <w:t>and SN have</w:t>
      </w:r>
      <w:r w:rsidR="00E6460A">
        <w:rPr>
          <w:lang w:eastAsia="en-US"/>
        </w:rPr>
        <w:t xml:space="preserve"> configured</w:t>
      </w:r>
      <w:r w:rsidR="0045197C">
        <w:rPr>
          <w:lang w:eastAsia="en-US"/>
        </w:rPr>
        <w:t xml:space="preserve"> a measurement object on the </w:t>
      </w:r>
      <w:r w:rsidR="00E6460A">
        <w:rPr>
          <w:lang w:eastAsia="en-US"/>
        </w:rPr>
        <w:t xml:space="preserve">NR </w:t>
      </w:r>
      <w:r w:rsidR="0045197C">
        <w:rPr>
          <w:lang w:eastAsia="en-US"/>
        </w:rPr>
        <w:t>serving cell frequencies</w:t>
      </w:r>
      <w:r w:rsidR="0045197C" w:rsidRPr="0045197C">
        <w:rPr>
          <w:lang w:eastAsia="en-US"/>
        </w:rPr>
        <w:t>.</w:t>
      </w:r>
    </w:p>
    <w:p w14:paraId="5A1B27A0" w14:textId="211931F9" w:rsidR="006E7E3B" w:rsidRDefault="008607B8" w:rsidP="006E7E3B">
      <w:r>
        <w:rPr>
          <w:lang w:eastAsia="en-US"/>
        </w:rPr>
        <w:t>In</w:t>
      </w:r>
      <w:r w:rsidR="00E6460A">
        <w:rPr>
          <w:lang w:eastAsia="en-US"/>
        </w:rPr>
        <w:t xml:space="preserve"> LTE</w:t>
      </w:r>
      <w:r>
        <w:rPr>
          <w:lang w:eastAsia="en-US"/>
        </w:rPr>
        <w:t xml:space="preserve"> DC</w:t>
      </w:r>
      <w:r w:rsidR="00E6460A">
        <w:rPr>
          <w:lang w:eastAsia="en-US"/>
        </w:rPr>
        <w:t xml:space="preserve"> </w:t>
      </w:r>
      <w:r w:rsidR="00C9073A">
        <w:rPr>
          <w:lang w:eastAsia="en-US"/>
        </w:rPr>
        <w:fldChar w:fldCharType="begin"/>
      </w:r>
      <w:r w:rsidR="00C9073A">
        <w:rPr>
          <w:lang w:eastAsia="en-US"/>
        </w:rPr>
        <w:instrText xml:space="preserve"> REF _Ref494201294 \r \h </w:instrText>
      </w:r>
      <w:r w:rsidR="00C9073A">
        <w:rPr>
          <w:lang w:eastAsia="en-US"/>
        </w:rPr>
      </w:r>
      <w:r w:rsidR="00C9073A">
        <w:rPr>
          <w:lang w:eastAsia="en-US"/>
        </w:rPr>
        <w:fldChar w:fldCharType="separate"/>
      </w:r>
      <w:r w:rsidR="00C9073A">
        <w:rPr>
          <w:lang w:eastAsia="en-US"/>
        </w:rPr>
        <w:t>[1]</w:t>
      </w:r>
      <w:r w:rsidR="00C9073A">
        <w:rPr>
          <w:lang w:eastAsia="en-US"/>
        </w:rPr>
        <w:fldChar w:fldCharType="end"/>
      </w:r>
      <w:r w:rsidR="00E6460A">
        <w:rPr>
          <w:lang w:eastAsia="en-US"/>
        </w:rPr>
        <w:t xml:space="preserve">, </w:t>
      </w:r>
      <w:r w:rsidR="006E7E3B">
        <w:t>f</w:t>
      </w:r>
      <w:r w:rsidR="006E7E3B" w:rsidRPr="00D05729">
        <w:t xml:space="preserve">or the </w:t>
      </w:r>
      <w:r w:rsidR="006E7E3B" w:rsidRPr="00D05729">
        <w:rPr>
          <w:i/>
        </w:rPr>
        <w:t>measId</w:t>
      </w:r>
      <w:r w:rsidR="006E7E3B" w:rsidRPr="00D05729">
        <w:t xml:space="preserve"> for which the me</w:t>
      </w:r>
      <w:r>
        <w:t>asurement reporting procedure i</w:t>
      </w:r>
      <w:r w:rsidR="006E7E3B" w:rsidRPr="00D05729">
        <w:t xml:space="preserve">s triggered, the UE shall set the </w:t>
      </w:r>
      <w:r w:rsidR="006E7E3B" w:rsidRPr="00D05729">
        <w:rPr>
          <w:i/>
        </w:rPr>
        <w:t>measResults</w:t>
      </w:r>
      <w:r w:rsidR="006E7E3B" w:rsidRPr="00D05729">
        <w:t xml:space="preserve"> within the </w:t>
      </w:r>
      <w:r w:rsidR="006E7E3B" w:rsidRPr="00D05729">
        <w:rPr>
          <w:i/>
        </w:rPr>
        <w:t>MeasurementReport</w:t>
      </w:r>
      <w:r w:rsidR="006E7E3B" w:rsidRPr="00D05729">
        <w:t xml:space="preserve"> message </w:t>
      </w:r>
      <w:r>
        <w:t xml:space="preserve">to </w:t>
      </w:r>
      <w:r w:rsidR="006E7E3B">
        <w:t>includ</w:t>
      </w:r>
      <w:r>
        <w:t>e</w:t>
      </w:r>
      <w:r w:rsidR="006E7E3B">
        <w:t xml:space="preserve"> the </w:t>
      </w:r>
      <w:r w:rsidR="006E7E3B" w:rsidRPr="00D05729">
        <w:rPr>
          <w:i/>
        </w:rPr>
        <w:t>measResultServFreqList</w:t>
      </w:r>
      <w:r>
        <w:rPr>
          <w:i/>
        </w:rPr>
        <w:t>,</w:t>
      </w:r>
      <w:r w:rsidR="006E7E3B" w:rsidRPr="00D05729">
        <w:t xml:space="preserve"> to include for each SCell that is configured</w:t>
      </w:r>
      <w:r>
        <w:t xml:space="preserve"> (whether they belong to the MCG or SCG)</w:t>
      </w:r>
      <w:r w:rsidR="006E7E3B" w:rsidRPr="00D05729">
        <w:t xml:space="preserve">, if any, within </w:t>
      </w:r>
      <w:r w:rsidR="006E7E3B" w:rsidRPr="00D05729">
        <w:rPr>
          <w:i/>
        </w:rPr>
        <w:t>measResultSCell</w:t>
      </w:r>
      <w:r w:rsidR="006E7E3B" w:rsidRPr="00D05729">
        <w:t xml:space="preserve"> the quantities of the concerned SCell, if available according to </w:t>
      </w:r>
      <w:r w:rsidR="006E7E3B">
        <w:t>performance</w:t>
      </w:r>
      <w:r w:rsidR="00BD0337">
        <w:t xml:space="preserve"> requirements. Thus, </w:t>
      </w:r>
      <w:r w:rsidR="003B081C">
        <w:t>a</w:t>
      </w:r>
      <w:r>
        <w:t xml:space="preserve">dopting </w:t>
      </w:r>
      <w:r w:rsidR="006E7E3B">
        <w:t xml:space="preserve">LTE </w:t>
      </w:r>
      <w:r>
        <w:t xml:space="preserve">DC as a </w:t>
      </w:r>
      <w:r w:rsidR="006E7E3B">
        <w:t xml:space="preserve">baseline </w:t>
      </w:r>
      <w:r>
        <w:t xml:space="preserve">behaviour will result in </w:t>
      </w:r>
      <w:r w:rsidR="006E7E3B">
        <w:t xml:space="preserve">SN </w:t>
      </w:r>
      <w:r w:rsidR="006E7E3B" w:rsidRPr="006E7E3B">
        <w:t xml:space="preserve">serving cell measurements </w:t>
      </w:r>
      <w:r w:rsidR="006E7E3B">
        <w:t>to be</w:t>
      </w:r>
      <w:r w:rsidR="006E7E3B" w:rsidRPr="006E7E3B">
        <w:t xml:space="preserve"> </w:t>
      </w:r>
      <w:r>
        <w:t xml:space="preserve">included </w:t>
      </w:r>
      <w:r w:rsidR="006E7E3B" w:rsidRPr="006E7E3B">
        <w:t>in LTE measurement reports</w:t>
      </w:r>
      <w:r w:rsidR="006E7E3B">
        <w:t xml:space="preserve"> if an NR measurement object is configured on an SN serving cell frequency.  </w:t>
      </w:r>
    </w:p>
    <w:p w14:paraId="7CB6CB4C" w14:textId="300B376A" w:rsidR="006E7E3B" w:rsidRPr="006E7E3B" w:rsidRDefault="003B081C" w:rsidP="006E7E3B">
      <w:pPr>
        <w:pStyle w:val="Observation"/>
        <w:rPr>
          <w:lang w:val="en-US"/>
        </w:rPr>
      </w:pPr>
      <w:bookmarkStart w:id="3" w:name="_Toc494384632"/>
      <w:bookmarkStart w:id="4" w:name="_Toc494412137"/>
      <w:r>
        <w:t>A</w:t>
      </w:r>
      <w:r w:rsidR="008607B8">
        <w:t>dopting the LTE DC as a baseline behaviour will result in</w:t>
      </w:r>
      <w:r>
        <w:t xml:space="preserve"> SN </w:t>
      </w:r>
      <w:r w:rsidRPr="006E7E3B">
        <w:t xml:space="preserve">serving cell measurements </w:t>
      </w:r>
      <w:r w:rsidR="008607B8">
        <w:t xml:space="preserve">to </w:t>
      </w:r>
      <w:r>
        <w:t>be</w:t>
      </w:r>
      <w:r w:rsidRPr="006E7E3B">
        <w:t xml:space="preserve"> </w:t>
      </w:r>
      <w:r w:rsidR="008607B8">
        <w:t xml:space="preserve">included </w:t>
      </w:r>
      <w:r w:rsidRPr="006E7E3B">
        <w:t>in LTE measurement reports</w:t>
      </w:r>
      <w:r>
        <w:t xml:space="preserve"> if an NR measurement object is configured on an SN serving frequency</w:t>
      </w:r>
      <w:r w:rsidR="006E7E3B" w:rsidRPr="006E7E3B">
        <w:t>.</w:t>
      </w:r>
      <w:bookmarkEnd w:id="3"/>
      <w:bookmarkEnd w:id="4"/>
    </w:p>
    <w:p w14:paraId="0E03E104" w14:textId="7EBD056E" w:rsidR="00C87DA1" w:rsidRDefault="003B081C" w:rsidP="00BD0337">
      <w:pPr>
        <w:pStyle w:val="BodyText"/>
        <w:rPr>
          <w:lang w:val="en-US"/>
        </w:rPr>
      </w:pPr>
      <w:r>
        <w:rPr>
          <w:lang w:val="en-US"/>
        </w:rPr>
        <w:t>On the other hand, d</w:t>
      </w:r>
      <w:r w:rsidR="00B955CA">
        <w:rPr>
          <w:lang w:val="en-US"/>
        </w:rPr>
        <w:t xml:space="preserve">ifferent from LTE DC, MN does not </w:t>
      </w:r>
      <w:r w:rsidR="008115B0">
        <w:rPr>
          <w:lang w:val="en-US"/>
        </w:rPr>
        <w:t xml:space="preserve">always </w:t>
      </w:r>
      <w:r w:rsidR="00B955CA">
        <w:rPr>
          <w:lang w:val="en-US"/>
        </w:rPr>
        <w:t xml:space="preserve">need to receive SN serving cell measurements since we have separate RRC entities for MN and SN controlling MN and SN triggered procedures respectively. </w:t>
      </w:r>
      <w:r w:rsidR="008607B8">
        <w:rPr>
          <w:lang w:val="en-US"/>
        </w:rPr>
        <w:t xml:space="preserve">That is, the network maybe be operating in a configuration where the SN triggers all NR mobility. </w:t>
      </w:r>
      <w:r w:rsidR="00B955CA">
        <w:rPr>
          <w:lang w:val="en-US"/>
        </w:rPr>
        <w:t>Thus,</w:t>
      </w:r>
      <w:r w:rsidR="00815C24">
        <w:rPr>
          <w:lang w:val="en-US"/>
        </w:rPr>
        <w:t xml:space="preserve"> </w:t>
      </w:r>
      <w:r w:rsidR="008607B8">
        <w:rPr>
          <w:lang w:val="en-US"/>
        </w:rPr>
        <w:t xml:space="preserve">including NR serving cell measurements in this case could mean unnecessary </w:t>
      </w:r>
      <w:r w:rsidR="004C4267">
        <w:t>waste of both network resources and UE processing power</w:t>
      </w:r>
      <w:r w:rsidR="008607B8">
        <w:t>, as those measurements may not be used by the MN.</w:t>
      </w:r>
      <w:r w:rsidR="00815C24">
        <w:rPr>
          <w:lang w:val="en-US"/>
        </w:rPr>
        <w:t xml:space="preserve"> </w:t>
      </w:r>
    </w:p>
    <w:p w14:paraId="0ABE235A" w14:textId="01F9792E" w:rsidR="00C87DA1" w:rsidRDefault="00C87DA1" w:rsidP="00C87DA1">
      <w:pPr>
        <w:pStyle w:val="Observation"/>
        <w:rPr>
          <w:lang w:val="en-US"/>
        </w:rPr>
      </w:pPr>
      <w:bookmarkStart w:id="5" w:name="_Toc494384633"/>
      <w:bookmarkStart w:id="6" w:name="_Toc494412138"/>
      <w:r>
        <w:rPr>
          <w:lang w:val="en-US"/>
        </w:rPr>
        <w:t>Different from LTE DC, MN does not always need to receive SN serving cell measurements</w:t>
      </w:r>
      <w:r w:rsidR="008607B8">
        <w:rPr>
          <w:lang w:val="en-US"/>
        </w:rPr>
        <w:t>, since the network may be operating in a configuration where all the mobility with NR is initiated by the SN</w:t>
      </w:r>
      <w:r>
        <w:rPr>
          <w:lang w:val="en-US"/>
        </w:rPr>
        <w:t>.</w:t>
      </w:r>
      <w:bookmarkEnd w:id="5"/>
      <w:bookmarkEnd w:id="6"/>
    </w:p>
    <w:p w14:paraId="20F85CA3" w14:textId="77777777" w:rsidR="00C87DA1" w:rsidRDefault="00C87DA1" w:rsidP="00BD0337">
      <w:pPr>
        <w:pStyle w:val="BodyText"/>
        <w:rPr>
          <w:lang w:val="en-US"/>
        </w:rPr>
      </w:pPr>
    </w:p>
    <w:p w14:paraId="47FDC23B" w14:textId="3277BD6D" w:rsidR="00C87DA1" w:rsidRDefault="008607B8" w:rsidP="00C87DA1">
      <w:r>
        <w:lastRenderedPageBreak/>
        <w:t>If we would like to minimize this</w:t>
      </w:r>
      <w:r w:rsidR="00C87DA1">
        <w:t xml:space="preserve"> measurement overhead, </w:t>
      </w:r>
      <w:r w:rsidR="00190156">
        <w:t>there could be</w:t>
      </w:r>
      <w:r w:rsidR="00C87DA1">
        <w:t xml:space="preserve"> two </w:t>
      </w:r>
      <w:r w:rsidR="00190156">
        <w:t xml:space="preserve">straightforward </w:t>
      </w:r>
      <w:r w:rsidR="00C87DA1">
        <w:t>options</w:t>
      </w:r>
      <w:r w:rsidR="00190156">
        <w:t xml:space="preserve"> that we can consider</w:t>
      </w:r>
      <w:r w:rsidR="00C87DA1">
        <w:t>:</w:t>
      </w:r>
    </w:p>
    <w:p w14:paraId="441B0C1B" w14:textId="784914F4" w:rsidR="00C87DA1" w:rsidRDefault="00C87DA1" w:rsidP="00C87DA1">
      <w:pPr>
        <w:pStyle w:val="ListParagraph"/>
        <w:numPr>
          <w:ilvl w:val="0"/>
          <w:numId w:val="44"/>
        </w:numPr>
      </w:pPr>
      <w:r>
        <w:t xml:space="preserve">Treat NR serving cells as neighbour cells in LTE specification, </w:t>
      </w:r>
      <w:r w:rsidR="008607B8">
        <w:t xml:space="preserve">whereby the </w:t>
      </w:r>
      <w:r>
        <w:t>UE will not send NR serving cell measurement results in its LTE measurement report.</w:t>
      </w:r>
    </w:p>
    <w:p w14:paraId="26B5CD6D" w14:textId="77777777" w:rsidR="00B061B3" w:rsidRDefault="00B061B3" w:rsidP="00B061B3">
      <w:pPr>
        <w:pStyle w:val="ListParagraph"/>
      </w:pPr>
    </w:p>
    <w:p w14:paraId="30582D0D" w14:textId="77777777" w:rsidR="008607B8" w:rsidRPr="008607B8" w:rsidRDefault="008607B8" w:rsidP="00AE74E6">
      <w:pPr>
        <w:pStyle w:val="ListParagraph"/>
        <w:numPr>
          <w:ilvl w:val="0"/>
          <w:numId w:val="44"/>
        </w:numPr>
        <w:rPr>
          <w:lang w:val="en-US"/>
        </w:rPr>
      </w:pPr>
      <w:r>
        <w:t xml:space="preserve">Configurable behaviour, where the </w:t>
      </w:r>
      <w:r w:rsidR="00C87DA1">
        <w:t>UE send</w:t>
      </w:r>
      <w:r w:rsidR="008115B0">
        <w:t>s</w:t>
      </w:r>
      <w:r w:rsidR="00C87DA1">
        <w:t xml:space="preserve"> NR serving cell measurement in</w:t>
      </w:r>
      <w:r w:rsidR="008115B0">
        <w:t xml:space="preserve"> an</w:t>
      </w:r>
      <w:r w:rsidR="00C87DA1">
        <w:t xml:space="preserve"> LTE measurement report </w:t>
      </w:r>
      <w:r w:rsidR="008115B0">
        <w:t>o</w:t>
      </w:r>
      <w:r>
        <w:t xml:space="preserve">nly if it is configured to do so. </w:t>
      </w:r>
    </w:p>
    <w:p w14:paraId="58939FBD" w14:textId="23626014" w:rsidR="006E7E3B" w:rsidRPr="008607B8" w:rsidRDefault="00C87DA1" w:rsidP="008607B8">
      <w:pPr>
        <w:rPr>
          <w:lang w:val="en-US"/>
        </w:rPr>
      </w:pPr>
      <w:r>
        <w:t xml:space="preserve">The issue with alternative 1 is that in some cases, e.g., in case of (LTE) MN triggered SN change, it could be useful for </w:t>
      </w:r>
      <w:r w:rsidR="00190156">
        <w:t>(</w:t>
      </w:r>
      <w:r>
        <w:t>LTE</w:t>
      </w:r>
      <w:r w:rsidR="00190156">
        <w:t>)</w:t>
      </w:r>
      <w:r>
        <w:t xml:space="preserve"> MN to know the </w:t>
      </w:r>
      <w:r w:rsidR="00190156">
        <w:t>(</w:t>
      </w:r>
      <w:r>
        <w:t>NR</w:t>
      </w:r>
      <w:r w:rsidR="00190156">
        <w:t>)</w:t>
      </w:r>
      <w:r>
        <w:t xml:space="preserve"> </w:t>
      </w:r>
      <w:r w:rsidR="00190156">
        <w:t xml:space="preserve">SN </w:t>
      </w:r>
      <w:r>
        <w:t xml:space="preserve">serving cell radio quality so that MN can make a more appropriate SN change decision. Therefore, </w:t>
      </w:r>
      <w:r w:rsidR="008607B8">
        <w:t xml:space="preserve">the </w:t>
      </w:r>
      <w:r>
        <w:t xml:space="preserve">more reasonable </w:t>
      </w:r>
      <w:r w:rsidR="008607B8">
        <w:t xml:space="preserve">approach is </w:t>
      </w:r>
      <w:r>
        <w:t>to make this configurable in</w:t>
      </w:r>
      <w:r w:rsidR="003F0E40">
        <w:t xml:space="preserve"> the</w:t>
      </w:r>
      <w:r>
        <w:t xml:space="preserve"> measurement configuration. One example is that in the event B1 or event B2, </w:t>
      </w:r>
      <w:r w:rsidR="008607B8">
        <w:t xml:space="preserve">the </w:t>
      </w:r>
      <w:r>
        <w:t xml:space="preserve">network can configure </w:t>
      </w:r>
      <w:r w:rsidR="008607B8">
        <w:t xml:space="preserve">the </w:t>
      </w:r>
      <w:r>
        <w:t>UE to report NR serving cell measurement</w:t>
      </w:r>
      <w:r w:rsidR="00F213C4">
        <w:t>s</w:t>
      </w:r>
      <w:r>
        <w:t xml:space="preserve"> in its LTE measurement results. </w:t>
      </w:r>
    </w:p>
    <w:p w14:paraId="55487EBD" w14:textId="6E2AE972" w:rsidR="008431B9" w:rsidRPr="00362E50" w:rsidRDefault="008607B8" w:rsidP="00815C24">
      <w:pPr>
        <w:pStyle w:val="Proposal"/>
        <w:rPr>
          <w:lang w:eastAsia="en-US"/>
        </w:rPr>
      </w:pPr>
      <w:bookmarkStart w:id="7" w:name="_Toc494384635"/>
      <w:bookmarkStart w:id="8" w:name="_Toc494384736"/>
      <w:bookmarkStart w:id="9" w:name="_Toc494412141"/>
      <w:r>
        <w:rPr>
          <w:lang w:val="en-US"/>
        </w:rPr>
        <w:t>LTE m</w:t>
      </w:r>
      <w:r w:rsidR="00815C24" w:rsidRPr="00815C24">
        <w:rPr>
          <w:lang w:val="en-US"/>
        </w:rPr>
        <w:t>easurement configuration to include a new parameter that ma</w:t>
      </w:r>
      <w:r w:rsidR="008115B0">
        <w:rPr>
          <w:lang w:val="en-US"/>
        </w:rPr>
        <w:t>kes the reporting of</w:t>
      </w:r>
      <w:r w:rsidR="00815C24" w:rsidRPr="00815C24">
        <w:rPr>
          <w:lang w:val="en-US"/>
        </w:rPr>
        <w:t xml:space="preserve"> NR serving cell measurements </w:t>
      </w:r>
      <w:r w:rsidR="00885F26">
        <w:rPr>
          <w:lang w:val="en-US"/>
        </w:rPr>
        <w:t>configurable</w:t>
      </w:r>
      <w:r w:rsidR="00815C24" w:rsidRPr="00815C24">
        <w:rPr>
          <w:lang w:val="en-US"/>
        </w:rPr>
        <w:t>.</w:t>
      </w:r>
      <w:bookmarkEnd w:id="7"/>
      <w:bookmarkEnd w:id="8"/>
      <w:bookmarkEnd w:id="9"/>
    </w:p>
    <w:p w14:paraId="52B6E4C9" w14:textId="4246ACD6" w:rsidR="002D5FB1" w:rsidRPr="008C7695" w:rsidRDefault="0089158F" w:rsidP="002D5FB1">
      <w:pPr>
        <w:pStyle w:val="Heading1"/>
        <w:numPr>
          <w:ilvl w:val="0"/>
          <w:numId w:val="16"/>
        </w:numPr>
        <w:textAlignment w:val="auto"/>
      </w:pPr>
      <w:r>
        <w:t>C</w:t>
      </w:r>
      <w:r w:rsidR="002D5FB1" w:rsidRPr="008C7695">
        <w:t>onclusion</w:t>
      </w:r>
    </w:p>
    <w:p w14:paraId="57B1DF6A" w14:textId="166F2209" w:rsidR="00F213C4" w:rsidRDefault="002D5FB1">
      <w:pPr>
        <w:pStyle w:val="BodyText"/>
      </w:pPr>
      <w:r w:rsidRPr="008C7695">
        <w:t>Based on the discussion in section 2, we have the following</w:t>
      </w:r>
      <w:r w:rsidR="008115B0">
        <w:t xml:space="preserve"> observations and proposal</w:t>
      </w:r>
      <w:r w:rsidRPr="008C7695">
        <w:t>:</w:t>
      </w:r>
    </w:p>
    <w:p w14:paraId="51D7D139" w14:textId="77777777" w:rsidR="00030509" w:rsidRDefault="00F213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30509" w:rsidRPr="00DF384E">
        <w:t>Observation 1</w:t>
      </w:r>
      <w:r w:rsidR="0003050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30509">
        <w:t>Adopting the LTE DC as a baseline behaviour will result in SN serving cell measurements to be included in LTE measurement reports if an NR measurement object is configured on an SN serving frequency.</w:t>
      </w:r>
    </w:p>
    <w:p w14:paraId="5F825477" w14:textId="77777777" w:rsidR="00030509" w:rsidRDefault="000305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F384E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F384E">
        <w:t>Different from LTE DC, MN does not always need to receive SN serving cell measurements, since the network may be operating in a configuration where all the mobility with NR is initiated by the SN.</w:t>
      </w:r>
    </w:p>
    <w:p w14:paraId="5CADEFC7" w14:textId="2F2FA4F3" w:rsidR="00F213C4" w:rsidRDefault="00F213C4" w:rsidP="00F213C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40B67B" w14:textId="77777777" w:rsidR="00F213C4" w:rsidRDefault="00F213C4" w:rsidP="00F213C4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4B75F4" w14:textId="77777777" w:rsidR="00030509" w:rsidRDefault="00F213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30509">
        <w:rPr>
          <w:lang w:eastAsia="en-US"/>
        </w:rPr>
        <w:t>Proposal 1</w:t>
      </w:r>
      <w:r w:rsidR="0003050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30509" w:rsidRPr="001C6B25">
        <w:t>LTE measurement configuration to include a new parameter that makes the reporting of NR serving cell measurements configurable.</w:t>
      </w:r>
    </w:p>
    <w:p w14:paraId="3C365467" w14:textId="510D74ED" w:rsidR="00F213C4" w:rsidRDefault="00F213C4" w:rsidP="00F213C4">
      <w:pPr>
        <w:pStyle w:val="BodyText"/>
      </w:pPr>
      <w:r>
        <w:rPr>
          <w:b/>
          <w:bCs/>
        </w:rPr>
        <w:fldChar w:fldCharType="end"/>
      </w:r>
    </w:p>
    <w:p w14:paraId="2BAC8A3E" w14:textId="4F9AA331" w:rsidR="002D5FB1" w:rsidRPr="008C7695" w:rsidRDefault="006105A3" w:rsidP="0054024D">
      <w:pPr>
        <w:pStyle w:val="Heading1"/>
        <w:numPr>
          <w:ilvl w:val="0"/>
          <w:numId w:val="16"/>
        </w:numPr>
        <w:textAlignment w:val="auto"/>
      </w:pPr>
      <w:r w:rsidDel="006105A3">
        <w:t xml:space="preserve"> </w:t>
      </w:r>
      <w:r w:rsidR="0054024D" w:rsidRPr="008C7695">
        <w:t xml:space="preserve"> </w:t>
      </w:r>
      <w:r w:rsidR="002D5FB1" w:rsidRPr="008C7695">
        <w:t>References</w:t>
      </w:r>
    </w:p>
    <w:p w14:paraId="6E537776" w14:textId="25E362CE" w:rsidR="00C9073A" w:rsidRPr="007F0921" w:rsidRDefault="00AB2100" w:rsidP="008115B0">
      <w:pPr>
        <w:pStyle w:val="Reference"/>
        <w:numPr>
          <w:ilvl w:val="0"/>
          <w:numId w:val="17"/>
        </w:numPr>
        <w:textAlignment w:val="auto"/>
      </w:pPr>
      <w:bookmarkStart w:id="10" w:name="_Ref446579153"/>
      <w:bookmarkStart w:id="11" w:name="_Ref462960254"/>
      <w:bookmarkStart w:id="12" w:name="_Ref481778301"/>
      <w:bookmarkStart w:id="13" w:name="_Ref494201294"/>
      <w:r>
        <w:t>3GPP TS 36.331</w:t>
      </w:r>
      <w:r w:rsidR="0024183F">
        <w:t xml:space="preserve">, </w:t>
      </w:r>
      <w:bookmarkEnd w:id="10"/>
      <w:bookmarkEnd w:id="11"/>
      <w:bookmarkEnd w:id="12"/>
      <w:r w:rsidR="00C9073A">
        <w:t>E-UTRA – Radio Resource Control (RRC) protocol specification</w:t>
      </w:r>
      <w:bookmarkEnd w:id="13"/>
      <w:r w:rsidR="008115B0">
        <w:t xml:space="preserve"> (Release 14)</w:t>
      </w:r>
      <w:bookmarkEnd w:id="0"/>
    </w:p>
    <w:sectPr w:rsidR="00C9073A" w:rsidRPr="007F0921" w:rsidSect="000E32B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5E1CE" w14:textId="77777777" w:rsidR="00581A93" w:rsidRDefault="00581A93">
      <w:r>
        <w:separator/>
      </w:r>
    </w:p>
    <w:p w14:paraId="5D747C44" w14:textId="77777777" w:rsidR="00581A93" w:rsidRDefault="00581A93"/>
  </w:endnote>
  <w:endnote w:type="continuationSeparator" w:id="0">
    <w:p w14:paraId="466D1116" w14:textId="77777777" w:rsidR="00581A93" w:rsidRDefault="00581A93">
      <w:r>
        <w:continuationSeparator/>
      </w:r>
    </w:p>
    <w:p w14:paraId="613541D2" w14:textId="77777777" w:rsidR="00581A93" w:rsidRDefault="00581A93"/>
  </w:endnote>
  <w:endnote w:type="continuationNotice" w:id="1">
    <w:p w14:paraId="3454F1EF" w14:textId="77777777" w:rsidR="00581A93" w:rsidRDefault="00581A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5A11F36B" w:rsidR="00815C24" w:rsidRDefault="00815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050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050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815C24" w:rsidRDefault="00815C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BD86E" w14:textId="77777777" w:rsidR="00581A93" w:rsidRDefault="00581A93">
      <w:r>
        <w:separator/>
      </w:r>
    </w:p>
    <w:p w14:paraId="078AC1BE" w14:textId="77777777" w:rsidR="00581A93" w:rsidRDefault="00581A93"/>
  </w:footnote>
  <w:footnote w:type="continuationSeparator" w:id="0">
    <w:p w14:paraId="6E6AE36E" w14:textId="77777777" w:rsidR="00581A93" w:rsidRDefault="00581A93">
      <w:r>
        <w:continuationSeparator/>
      </w:r>
    </w:p>
    <w:p w14:paraId="15A3F7F6" w14:textId="77777777" w:rsidR="00581A93" w:rsidRDefault="00581A93"/>
  </w:footnote>
  <w:footnote w:type="continuationNotice" w:id="1">
    <w:p w14:paraId="2E07D3BA" w14:textId="77777777" w:rsidR="00581A93" w:rsidRDefault="00581A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815C24" w:rsidRDefault="00815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5AE50A28" w14:textId="77777777" w:rsidR="00815C24" w:rsidRDefault="00815C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EF4F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46C9E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42E6A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47782A"/>
    <w:multiLevelType w:val="hybridMultilevel"/>
    <w:tmpl w:val="6B64568E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55DC2"/>
    <w:multiLevelType w:val="hybridMultilevel"/>
    <w:tmpl w:val="28522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006BC"/>
    <w:multiLevelType w:val="hybridMultilevel"/>
    <w:tmpl w:val="CE3EB7D2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24B17"/>
    <w:multiLevelType w:val="hybridMultilevel"/>
    <w:tmpl w:val="11625792"/>
    <w:lvl w:ilvl="0" w:tplc="1E9EF18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160A3FFF"/>
    <w:multiLevelType w:val="hybridMultilevel"/>
    <w:tmpl w:val="CC44F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D77A9"/>
    <w:multiLevelType w:val="hybridMultilevel"/>
    <w:tmpl w:val="A26A23D4"/>
    <w:lvl w:ilvl="0" w:tplc="CAD84FA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E74E4"/>
    <w:multiLevelType w:val="hybridMultilevel"/>
    <w:tmpl w:val="36E09176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14708"/>
    <w:multiLevelType w:val="hybridMultilevel"/>
    <w:tmpl w:val="7AD00D60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79FE"/>
    <w:multiLevelType w:val="hybridMultilevel"/>
    <w:tmpl w:val="B3C8ACDE"/>
    <w:lvl w:ilvl="0" w:tplc="5BA8D7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81B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B46260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E5C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CA9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07E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C114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4B2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6C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5D66DE"/>
    <w:multiLevelType w:val="hybridMultilevel"/>
    <w:tmpl w:val="1FD0AF8E"/>
    <w:lvl w:ilvl="0" w:tplc="76787BE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3400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0160666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052301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60298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4206F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12BBB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0E1E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1C73E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55966EA"/>
    <w:multiLevelType w:val="hybridMultilevel"/>
    <w:tmpl w:val="2E0A801C"/>
    <w:lvl w:ilvl="0" w:tplc="FC32B5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EF1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48B45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AC07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816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5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20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C3D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1015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173FAB"/>
    <w:multiLevelType w:val="hybridMultilevel"/>
    <w:tmpl w:val="816EF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A1855"/>
    <w:multiLevelType w:val="hybridMultilevel"/>
    <w:tmpl w:val="4CCCB474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22619"/>
    <w:multiLevelType w:val="hybridMultilevel"/>
    <w:tmpl w:val="71F06738"/>
    <w:lvl w:ilvl="0" w:tplc="54941D7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C7A77"/>
    <w:multiLevelType w:val="hybridMultilevel"/>
    <w:tmpl w:val="E32CCC4E"/>
    <w:lvl w:ilvl="0" w:tplc="BFC6AD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21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3"/>
    <w:lvlOverride w:ilvl="0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2"/>
  </w:num>
  <w:num w:numId="22">
    <w:abstractNumId w:val="24"/>
  </w:num>
  <w:num w:numId="23">
    <w:abstractNumId w:val="8"/>
  </w:num>
  <w:num w:numId="24">
    <w:abstractNumId w:val="13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17"/>
  </w:num>
  <w:num w:numId="27">
    <w:abstractNumId w:val="27"/>
  </w:num>
  <w:num w:numId="28">
    <w:abstractNumId w:val="18"/>
  </w:num>
  <w:num w:numId="29">
    <w:abstractNumId w:val="5"/>
  </w:num>
  <w:num w:numId="30">
    <w:abstractNumId w:val="19"/>
  </w:num>
  <w:num w:numId="31">
    <w:abstractNumId w:val="20"/>
  </w:num>
  <w:num w:numId="32">
    <w:abstractNumId w:val="7"/>
  </w:num>
  <w:num w:numId="33">
    <w:abstractNumId w:val="26"/>
  </w:num>
  <w:num w:numId="34">
    <w:abstractNumId w:val="13"/>
    <w:lvlOverride w:ilvl="0">
      <w:startOverride w:val="1"/>
    </w:lvlOverride>
  </w:num>
  <w:num w:numId="35">
    <w:abstractNumId w:val="18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8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8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6"/>
  </w:num>
  <w:num w:numId="42">
    <w:abstractNumId w:val="28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18"/>
    <w:lvlOverride w:ilvl="0">
      <w:startOverride w:val="1"/>
    </w:lvlOverride>
  </w:num>
  <w:num w:numId="46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20490"/>
    <w:rsid w:val="0002564D"/>
    <w:rsid w:val="00025ECA"/>
    <w:rsid w:val="00030094"/>
    <w:rsid w:val="00030509"/>
    <w:rsid w:val="000325B8"/>
    <w:rsid w:val="00034C15"/>
    <w:rsid w:val="00034FE6"/>
    <w:rsid w:val="00036BA1"/>
    <w:rsid w:val="00037537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449"/>
    <w:rsid w:val="00077021"/>
    <w:rsid w:val="00077E5F"/>
    <w:rsid w:val="0008036A"/>
    <w:rsid w:val="00081AE6"/>
    <w:rsid w:val="00081D2B"/>
    <w:rsid w:val="000855EB"/>
    <w:rsid w:val="00085B52"/>
    <w:rsid w:val="000866F2"/>
    <w:rsid w:val="0009009F"/>
    <w:rsid w:val="00091557"/>
    <w:rsid w:val="00092276"/>
    <w:rsid w:val="000924C1"/>
    <w:rsid w:val="000924F0"/>
    <w:rsid w:val="00093474"/>
    <w:rsid w:val="0009510F"/>
    <w:rsid w:val="000A1B7B"/>
    <w:rsid w:val="000A56F2"/>
    <w:rsid w:val="000B09BE"/>
    <w:rsid w:val="000B0A8E"/>
    <w:rsid w:val="000B2719"/>
    <w:rsid w:val="000B3A8F"/>
    <w:rsid w:val="000B4AB9"/>
    <w:rsid w:val="000B58C3"/>
    <w:rsid w:val="000B61E9"/>
    <w:rsid w:val="000B7CC3"/>
    <w:rsid w:val="000C09B6"/>
    <w:rsid w:val="000C165A"/>
    <w:rsid w:val="000C2E19"/>
    <w:rsid w:val="000D0D07"/>
    <w:rsid w:val="000D4797"/>
    <w:rsid w:val="000E0527"/>
    <w:rsid w:val="000E1E92"/>
    <w:rsid w:val="000E32B8"/>
    <w:rsid w:val="000E5CA7"/>
    <w:rsid w:val="000F06D6"/>
    <w:rsid w:val="000F0EB1"/>
    <w:rsid w:val="000F0FD9"/>
    <w:rsid w:val="000F1106"/>
    <w:rsid w:val="000F3BE9"/>
    <w:rsid w:val="000F3F6C"/>
    <w:rsid w:val="000F6DF3"/>
    <w:rsid w:val="000F6F8C"/>
    <w:rsid w:val="001005FF"/>
    <w:rsid w:val="001062FB"/>
    <w:rsid w:val="001063E6"/>
    <w:rsid w:val="00113CF4"/>
    <w:rsid w:val="001153EA"/>
    <w:rsid w:val="00115643"/>
    <w:rsid w:val="00115967"/>
    <w:rsid w:val="00116765"/>
    <w:rsid w:val="001219F5"/>
    <w:rsid w:val="00121A20"/>
    <w:rsid w:val="0012310D"/>
    <w:rsid w:val="0012372A"/>
    <w:rsid w:val="0012377F"/>
    <w:rsid w:val="00124314"/>
    <w:rsid w:val="00126B4A"/>
    <w:rsid w:val="00131D3B"/>
    <w:rsid w:val="00132FD0"/>
    <w:rsid w:val="001344C0"/>
    <w:rsid w:val="001346FA"/>
    <w:rsid w:val="00135252"/>
    <w:rsid w:val="001369AA"/>
    <w:rsid w:val="00137AB5"/>
    <w:rsid w:val="00137F0B"/>
    <w:rsid w:val="00141D07"/>
    <w:rsid w:val="00142DE6"/>
    <w:rsid w:val="00151E23"/>
    <w:rsid w:val="00152640"/>
    <w:rsid w:val="001526E0"/>
    <w:rsid w:val="001551B5"/>
    <w:rsid w:val="001634B8"/>
    <w:rsid w:val="001659C1"/>
    <w:rsid w:val="00166CCC"/>
    <w:rsid w:val="00173A8E"/>
    <w:rsid w:val="00177795"/>
    <w:rsid w:val="00180F21"/>
    <w:rsid w:val="0018143F"/>
    <w:rsid w:val="00190156"/>
    <w:rsid w:val="00190AC1"/>
    <w:rsid w:val="00191B5D"/>
    <w:rsid w:val="0019341A"/>
    <w:rsid w:val="001952C1"/>
    <w:rsid w:val="001961CA"/>
    <w:rsid w:val="00197DF9"/>
    <w:rsid w:val="001A1987"/>
    <w:rsid w:val="001A2564"/>
    <w:rsid w:val="001A6173"/>
    <w:rsid w:val="001A6CBA"/>
    <w:rsid w:val="001B05AD"/>
    <w:rsid w:val="001B0D97"/>
    <w:rsid w:val="001B5A5D"/>
    <w:rsid w:val="001C0FD0"/>
    <w:rsid w:val="001C1CE5"/>
    <w:rsid w:val="001C3D2A"/>
    <w:rsid w:val="001C40AD"/>
    <w:rsid w:val="001D0A9C"/>
    <w:rsid w:val="001D12CB"/>
    <w:rsid w:val="001D2098"/>
    <w:rsid w:val="001D51BA"/>
    <w:rsid w:val="001D6342"/>
    <w:rsid w:val="001D6D53"/>
    <w:rsid w:val="001E58E2"/>
    <w:rsid w:val="001E7AED"/>
    <w:rsid w:val="001F2D34"/>
    <w:rsid w:val="001F3916"/>
    <w:rsid w:val="001F54C5"/>
    <w:rsid w:val="001F662C"/>
    <w:rsid w:val="001F7074"/>
    <w:rsid w:val="00200490"/>
    <w:rsid w:val="00201F3A"/>
    <w:rsid w:val="00202142"/>
    <w:rsid w:val="00203F96"/>
    <w:rsid w:val="0020606F"/>
    <w:rsid w:val="002069B2"/>
    <w:rsid w:val="00207FA3"/>
    <w:rsid w:val="002124A1"/>
    <w:rsid w:val="00213212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30765"/>
    <w:rsid w:val="002319E4"/>
    <w:rsid w:val="00235632"/>
    <w:rsid w:val="00235872"/>
    <w:rsid w:val="002402A1"/>
    <w:rsid w:val="00241559"/>
    <w:rsid w:val="0024183F"/>
    <w:rsid w:val="002435B3"/>
    <w:rsid w:val="002458EB"/>
    <w:rsid w:val="002500C8"/>
    <w:rsid w:val="00252C87"/>
    <w:rsid w:val="002569BF"/>
    <w:rsid w:val="00257543"/>
    <w:rsid w:val="002617E7"/>
    <w:rsid w:val="00261927"/>
    <w:rsid w:val="00262549"/>
    <w:rsid w:val="00263381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777D"/>
    <w:rsid w:val="00297E0A"/>
    <w:rsid w:val="002A055E"/>
    <w:rsid w:val="002A1D4E"/>
    <w:rsid w:val="002A2869"/>
    <w:rsid w:val="002B054F"/>
    <w:rsid w:val="002B0EBF"/>
    <w:rsid w:val="002B24D6"/>
    <w:rsid w:val="002B298E"/>
    <w:rsid w:val="002C41E6"/>
    <w:rsid w:val="002C512B"/>
    <w:rsid w:val="002C7B3C"/>
    <w:rsid w:val="002D071A"/>
    <w:rsid w:val="002D0D7C"/>
    <w:rsid w:val="002D34B2"/>
    <w:rsid w:val="002D5FB1"/>
    <w:rsid w:val="002D7637"/>
    <w:rsid w:val="002E17F2"/>
    <w:rsid w:val="002E4F17"/>
    <w:rsid w:val="002E7CAE"/>
    <w:rsid w:val="002F0000"/>
    <w:rsid w:val="002F26D8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999"/>
    <w:rsid w:val="00325DD2"/>
    <w:rsid w:val="00331751"/>
    <w:rsid w:val="00334579"/>
    <w:rsid w:val="00335858"/>
    <w:rsid w:val="00336BDA"/>
    <w:rsid w:val="00342BD7"/>
    <w:rsid w:val="00343A07"/>
    <w:rsid w:val="003447D1"/>
    <w:rsid w:val="00346DB5"/>
    <w:rsid w:val="003477B1"/>
    <w:rsid w:val="003553B3"/>
    <w:rsid w:val="00357380"/>
    <w:rsid w:val="003602D9"/>
    <w:rsid w:val="003604CE"/>
    <w:rsid w:val="00360BE0"/>
    <w:rsid w:val="00362E50"/>
    <w:rsid w:val="00367593"/>
    <w:rsid w:val="00370E47"/>
    <w:rsid w:val="003742AC"/>
    <w:rsid w:val="00376185"/>
    <w:rsid w:val="00377CE1"/>
    <w:rsid w:val="00385BF0"/>
    <w:rsid w:val="00386A47"/>
    <w:rsid w:val="003939FF"/>
    <w:rsid w:val="003973D7"/>
    <w:rsid w:val="003A2223"/>
    <w:rsid w:val="003A2A0F"/>
    <w:rsid w:val="003A45A1"/>
    <w:rsid w:val="003A5B0A"/>
    <w:rsid w:val="003A6BAC"/>
    <w:rsid w:val="003A734E"/>
    <w:rsid w:val="003A7EF3"/>
    <w:rsid w:val="003B080B"/>
    <w:rsid w:val="003B081C"/>
    <w:rsid w:val="003B159C"/>
    <w:rsid w:val="003B369F"/>
    <w:rsid w:val="003B36A3"/>
    <w:rsid w:val="003B7FE5"/>
    <w:rsid w:val="003C11C8"/>
    <w:rsid w:val="003C20D8"/>
    <w:rsid w:val="003C2702"/>
    <w:rsid w:val="003C4B19"/>
    <w:rsid w:val="003C6FA7"/>
    <w:rsid w:val="003C7806"/>
    <w:rsid w:val="003D109F"/>
    <w:rsid w:val="003D1417"/>
    <w:rsid w:val="003D2478"/>
    <w:rsid w:val="003D3C45"/>
    <w:rsid w:val="003D5B1F"/>
    <w:rsid w:val="003E15FA"/>
    <w:rsid w:val="003E55E4"/>
    <w:rsid w:val="003E74E3"/>
    <w:rsid w:val="003F05C7"/>
    <w:rsid w:val="003F0E40"/>
    <w:rsid w:val="003F1710"/>
    <w:rsid w:val="003F2CD4"/>
    <w:rsid w:val="003F6BBE"/>
    <w:rsid w:val="004000E8"/>
    <w:rsid w:val="0040036A"/>
    <w:rsid w:val="00402E2B"/>
    <w:rsid w:val="0040434A"/>
    <w:rsid w:val="0040512B"/>
    <w:rsid w:val="00405CA5"/>
    <w:rsid w:val="00407CD3"/>
    <w:rsid w:val="00410134"/>
    <w:rsid w:val="00410B72"/>
    <w:rsid w:val="00410F18"/>
    <w:rsid w:val="0041263E"/>
    <w:rsid w:val="004131EE"/>
    <w:rsid w:val="00413AAC"/>
    <w:rsid w:val="00421105"/>
    <w:rsid w:val="004242F4"/>
    <w:rsid w:val="00427248"/>
    <w:rsid w:val="004275C0"/>
    <w:rsid w:val="004309EA"/>
    <w:rsid w:val="00437447"/>
    <w:rsid w:val="00441A92"/>
    <w:rsid w:val="00444F56"/>
    <w:rsid w:val="00446488"/>
    <w:rsid w:val="004517AA"/>
    <w:rsid w:val="0045197C"/>
    <w:rsid w:val="00452CAC"/>
    <w:rsid w:val="00452EB6"/>
    <w:rsid w:val="00457565"/>
    <w:rsid w:val="004577D6"/>
    <w:rsid w:val="00457B71"/>
    <w:rsid w:val="00461342"/>
    <w:rsid w:val="00462942"/>
    <w:rsid w:val="00466782"/>
    <w:rsid w:val="004669E2"/>
    <w:rsid w:val="00470C31"/>
    <w:rsid w:val="004734D0"/>
    <w:rsid w:val="0047556B"/>
    <w:rsid w:val="00476674"/>
    <w:rsid w:val="00477768"/>
    <w:rsid w:val="00482576"/>
    <w:rsid w:val="004846DB"/>
    <w:rsid w:val="004849F4"/>
    <w:rsid w:val="00485AB2"/>
    <w:rsid w:val="00492BC5"/>
    <w:rsid w:val="004964F1"/>
    <w:rsid w:val="004A16BC"/>
    <w:rsid w:val="004A2B94"/>
    <w:rsid w:val="004B2A56"/>
    <w:rsid w:val="004B7C0C"/>
    <w:rsid w:val="004C3898"/>
    <w:rsid w:val="004C4267"/>
    <w:rsid w:val="004D35CA"/>
    <w:rsid w:val="004D36B1"/>
    <w:rsid w:val="004D4726"/>
    <w:rsid w:val="004D5A5C"/>
    <w:rsid w:val="004D7EBD"/>
    <w:rsid w:val="004E2680"/>
    <w:rsid w:val="004E28F9"/>
    <w:rsid w:val="004E462E"/>
    <w:rsid w:val="004E56DC"/>
    <w:rsid w:val="004E6DE3"/>
    <w:rsid w:val="004E76F4"/>
    <w:rsid w:val="004F0B4E"/>
    <w:rsid w:val="004F0B6C"/>
    <w:rsid w:val="004F2078"/>
    <w:rsid w:val="004F4DA3"/>
    <w:rsid w:val="004F6FE3"/>
    <w:rsid w:val="00500B12"/>
    <w:rsid w:val="00503D42"/>
    <w:rsid w:val="00506557"/>
    <w:rsid w:val="0050677A"/>
    <w:rsid w:val="005108D8"/>
    <w:rsid w:val="005116F9"/>
    <w:rsid w:val="005153A7"/>
    <w:rsid w:val="005165D3"/>
    <w:rsid w:val="0051670B"/>
    <w:rsid w:val="00520BD8"/>
    <w:rsid w:val="005219CF"/>
    <w:rsid w:val="0053269E"/>
    <w:rsid w:val="00534B59"/>
    <w:rsid w:val="00536759"/>
    <w:rsid w:val="00537C62"/>
    <w:rsid w:val="0054024D"/>
    <w:rsid w:val="005403F6"/>
    <w:rsid w:val="00540E58"/>
    <w:rsid w:val="00544421"/>
    <w:rsid w:val="00546970"/>
    <w:rsid w:val="00554E19"/>
    <w:rsid w:val="00557C68"/>
    <w:rsid w:val="00560409"/>
    <w:rsid w:val="0056121F"/>
    <w:rsid w:val="00572505"/>
    <w:rsid w:val="00581A93"/>
    <w:rsid w:val="00582809"/>
    <w:rsid w:val="0058798C"/>
    <w:rsid w:val="005900FA"/>
    <w:rsid w:val="005935A4"/>
    <w:rsid w:val="005948C2"/>
    <w:rsid w:val="00594F65"/>
    <w:rsid w:val="00595DCA"/>
    <w:rsid w:val="0059779B"/>
    <w:rsid w:val="005A209A"/>
    <w:rsid w:val="005A4E7C"/>
    <w:rsid w:val="005A662D"/>
    <w:rsid w:val="005B35D7"/>
    <w:rsid w:val="005B392A"/>
    <w:rsid w:val="005B3AA3"/>
    <w:rsid w:val="005B6F83"/>
    <w:rsid w:val="005C5A47"/>
    <w:rsid w:val="005C6668"/>
    <w:rsid w:val="005C74FB"/>
    <w:rsid w:val="005D1602"/>
    <w:rsid w:val="005D71BC"/>
    <w:rsid w:val="005E2C35"/>
    <w:rsid w:val="005E385F"/>
    <w:rsid w:val="005E5B81"/>
    <w:rsid w:val="005F2CB1"/>
    <w:rsid w:val="005F3025"/>
    <w:rsid w:val="005F618C"/>
    <w:rsid w:val="005F70BD"/>
    <w:rsid w:val="005F7518"/>
    <w:rsid w:val="00600CB8"/>
    <w:rsid w:val="0060283C"/>
    <w:rsid w:val="00604F14"/>
    <w:rsid w:val="006062E1"/>
    <w:rsid w:val="006105A3"/>
    <w:rsid w:val="00611B83"/>
    <w:rsid w:val="00613257"/>
    <w:rsid w:val="00620A71"/>
    <w:rsid w:val="00620D80"/>
    <w:rsid w:val="00622531"/>
    <w:rsid w:val="006234A6"/>
    <w:rsid w:val="00623ACD"/>
    <w:rsid w:val="00630001"/>
    <w:rsid w:val="006311B3"/>
    <w:rsid w:val="0063284C"/>
    <w:rsid w:val="0063338E"/>
    <w:rsid w:val="00636398"/>
    <w:rsid w:val="006368D3"/>
    <w:rsid w:val="00637224"/>
    <w:rsid w:val="006377EC"/>
    <w:rsid w:val="0064151F"/>
    <w:rsid w:val="00641533"/>
    <w:rsid w:val="0064208D"/>
    <w:rsid w:val="00643475"/>
    <w:rsid w:val="0064396A"/>
    <w:rsid w:val="0064624E"/>
    <w:rsid w:val="00650AB9"/>
    <w:rsid w:val="00650B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196"/>
    <w:rsid w:val="00695FC2"/>
    <w:rsid w:val="006968C9"/>
    <w:rsid w:val="00696949"/>
    <w:rsid w:val="00697052"/>
    <w:rsid w:val="006A07A4"/>
    <w:rsid w:val="006A0889"/>
    <w:rsid w:val="006A46FB"/>
    <w:rsid w:val="006A5E28"/>
    <w:rsid w:val="006A697B"/>
    <w:rsid w:val="006A7AFF"/>
    <w:rsid w:val="006B0228"/>
    <w:rsid w:val="006B1816"/>
    <w:rsid w:val="006B2099"/>
    <w:rsid w:val="006B50CF"/>
    <w:rsid w:val="006B65A0"/>
    <w:rsid w:val="006C03B8"/>
    <w:rsid w:val="006C5EC9"/>
    <w:rsid w:val="006C6059"/>
    <w:rsid w:val="006C7522"/>
    <w:rsid w:val="006D6F08"/>
    <w:rsid w:val="006E062C"/>
    <w:rsid w:val="006E13E0"/>
    <w:rsid w:val="006E28B7"/>
    <w:rsid w:val="006E3310"/>
    <w:rsid w:val="006E4E39"/>
    <w:rsid w:val="006E565E"/>
    <w:rsid w:val="006E673D"/>
    <w:rsid w:val="006E7D3B"/>
    <w:rsid w:val="006E7E3B"/>
    <w:rsid w:val="006F1B70"/>
    <w:rsid w:val="006F341D"/>
    <w:rsid w:val="006F3CDE"/>
    <w:rsid w:val="006F42B0"/>
    <w:rsid w:val="006F4868"/>
    <w:rsid w:val="006F58D4"/>
    <w:rsid w:val="0070346E"/>
    <w:rsid w:val="00704EDB"/>
    <w:rsid w:val="00706101"/>
    <w:rsid w:val="00707072"/>
    <w:rsid w:val="00707D61"/>
    <w:rsid w:val="00712287"/>
    <w:rsid w:val="00712590"/>
    <w:rsid w:val="00712772"/>
    <w:rsid w:val="007148D3"/>
    <w:rsid w:val="00714C72"/>
    <w:rsid w:val="00715B9A"/>
    <w:rsid w:val="00721A2A"/>
    <w:rsid w:val="00726EA6"/>
    <w:rsid w:val="00727208"/>
    <w:rsid w:val="00727680"/>
    <w:rsid w:val="007348B1"/>
    <w:rsid w:val="00735E01"/>
    <w:rsid w:val="007362A6"/>
    <w:rsid w:val="00736B09"/>
    <w:rsid w:val="00736D7D"/>
    <w:rsid w:val="00740E58"/>
    <w:rsid w:val="007445A0"/>
    <w:rsid w:val="0074524B"/>
    <w:rsid w:val="00747D8B"/>
    <w:rsid w:val="0075084B"/>
    <w:rsid w:val="00751228"/>
    <w:rsid w:val="007571E1"/>
    <w:rsid w:val="007604B2"/>
    <w:rsid w:val="00764D21"/>
    <w:rsid w:val="00765281"/>
    <w:rsid w:val="00766BAD"/>
    <w:rsid w:val="00766D12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507"/>
    <w:rsid w:val="007B3D2D"/>
    <w:rsid w:val="007B3EB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45A"/>
    <w:rsid w:val="007D33C1"/>
    <w:rsid w:val="007D5901"/>
    <w:rsid w:val="007D7526"/>
    <w:rsid w:val="007D75DC"/>
    <w:rsid w:val="007E0BE5"/>
    <w:rsid w:val="007E4610"/>
    <w:rsid w:val="007E4715"/>
    <w:rsid w:val="007E505B"/>
    <w:rsid w:val="007E6BC1"/>
    <w:rsid w:val="007E7091"/>
    <w:rsid w:val="007F0921"/>
    <w:rsid w:val="007F11C6"/>
    <w:rsid w:val="00800EC5"/>
    <w:rsid w:val="00802253"/>
    <w:rsid w:val="00803FAE"/>
    <w:rsid w:val="0080605F"/>
    <w:rsid w:val="00807786"/>
    <w:rsid w:val="008115B0"/>
    <w:rsid w:val="00811FCB"/>
    <w:rsid w:val="008158D6"/>
    <w:rsid w:val="00815C24"/>
    <w:rsid w:val="00817196"/>
    <w:rsid w:val="008235DB"/>
    <w:rsid w:val="00824AB4"/>
    <w:rsid w:val="00825C42"/>
    <w:rsid w:val="00825D25"/>
    <w:rsid w:val="008272CC"/>
    <w:rsid w:val="00827D6F"/>
    <w:rsid w:val="00834C18"/>
    <w:rsid w:val="00836B6A"/>
    <w:rsid w:val="008376AC"/>
    <w:rsid w:val="008431B9"/>
    <w:rsid w:val="008444E8"/>
    <w:rsid w:val="00844E80"/>
    <w:rsid w:val="00846FE7"/>
    <w:rsid w:val="008476DA"/>
    <w:rsid w:val="008534B9"/>
    <w:rsid w:val="00854F97"/>
    <w:rsid w:val="008554A3"/>
    <w:rsid w:val="00856911"/>
    <w:rsid w:val="008607B8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6B4D"/>
    <w:rsid w:val="00877F18"/>
    <w:rsid w:val="00882C5A"/>
    <w:rsid w:val="0088405F"/>
    <w:rsid w:val="00885F26"/>
    <w:rsid w:val="0089158F"/>
    <w:rsid w:val="00894A88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29BD"/>
    <w:rsid w:val="008B51A0"/>
    <w:rsid w:val="008B592A"/>
    <w:rsid w:val="008B7B5C"/>
    <w:rsid w:val="008B7F76"/>
    <w:rsid w:val="008C0C99"/>
    <w:rsid w:val="008C2017"/>
    <w:rsid w:val="008C4465"/>
    <w:rsid w:val="008C4958"/>
    <w:rsid w:val="008C4BAA"/>
    <w:rsid w:val="008C6AE8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E38F0"/>
    <w:rsid w:val="008E5F64"/>
    <w:rsid w:val="008F1EAB"/>
    <w:rsid w:val="008F2967"/>
    <w:rsid w:val="008F33DC"/>
    <w:rsid w:val="008F477F"/>
    <w:rsid w:val="008F5390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B7"/>
    <w:rsid w:val="00956675"/>
    <w:rsid w:val="0095681E"/>
    <w:rsid w:val="009572D4"/>
    <w:rsid w:val="00961921"/>
    <w:rsid w:val="0096430A"/>
    <w:rsid w:val="0096554B"/>
    <w:rsid w:val="0096584A"/>
    <w:rsid w:val="00965ACD"/>
    <w:rsid w:val="00966EF1"/>
    <w:rsid w:val="00971F08"/>
    <w:rsid w:val="0097603D"/>
    <w:rsid w:val="00976747"/>
    <w:rsid w:val="00976949"/>
    <w:rsid w:val="00980477"/>
    <w:rsid w:val="00985253"/>
    <w:rsid w:val="009853B3"/>
    <w:rsid w:val="0098600F"/>
    <w:rsid w:val="00990630"/>
    <w:rsid w:val="00991761"/>
    <w:rsid w:val="00994DCA"/>
    <w:rsid w:val="009960EC"/>
    <w:rsid w:val="009970DD"/>
    <w:rsid w:val="009A0FBA"/>
    <w:rsid w:val="009A1601"/>
    <w:rsid w:val="009A426D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BB8"/>
    <w:rsid w:val="009E35DB"/>
    <w:rsid w:val="009E47A3"/>
    <w:rsid w:val="009F08F3"/>
    <w:rsid w:val="009F344F"/>
    <w:rsid w:val="00A021A6"/>
    <w:rsid w:val="00A048A8"/>
    <w:rsid w:val="00A04F49"/>
    <w:rsid w:val="00A05CC3"/>
    <w:rsid w:val="00A13E54"/>
    <w:rsid w:val="00A17F63"/>
    <w:rsid w:val="00A2193B"/>
    <w:rsid w:val="00A2351A"/>
    <w:rsid w:val="00A264A9"/>
    <w:rsid w:val="00A27785"/>
    <w:rsid w:val="00A30187"/>
    <w:rsid w:val="00A31664"/>
    <w:rsid w:val="00A33CD9"/>
    <w:rsid w:val="00A3414A"/>
    <w:rsid w:val="00A3448A"/>
    <w:rsid w:val="00A36297"/>
    <w:rsid w:val="00A4050F"/>
    <w:rsid w:val="00A41E2B"/>
    <w:rsid w:val="00A43377"/>
    <w:rsid w:val="00A45B74"/>
    <w:rsid w:val="00A52E1D"/>
    <w:rsid w:val="00A55426"/>
    <w:rsid w:val="00A61499"/>
    <w:rsid w:val="00A62A77"/>
    <w:rsid w:val="00A63483"/>
    <w:rsid w:val="00A657D7"/>
    <w:rsid w:val="00A660AC"/>
    <w:rsid w:val="00A67E6C"/>
    <w:rsid w:val="00A701AC"/>
    <w:rsid w:val="00A70BE1"/>
    <w:rsid w:val="00A71B99"/>
    <w:rsid w:val="00A739D0"/>
    <w:rsid w:val="00A761D4"/>
    <w:rsid w:val="00A77EC4"/>
    <w:rsid w:val="00A82A69"/>
    <w:rsid w:val="00A8355C"/>
    <w:rsid w:val="00A84378"/>
    <w:rsid w:val="00A90B61"/>
    <w:rsid w:val="00A91579"/>
    <w:rsid w:val="00A92879"/>
    <w:rsid w:val="00A9442A"/>
    <w:rsid w:val="00A96A48"/>
    <w:rsid w:val="00AA016F"/>
    <w:rsid w:val="00AA1ED6"/>
    <w:rsid w:val="00AA2B52"/>
    <w:rsid w:val="00AA51D6"/>
    <w:rsid w:val="00AB0ADF"/>
    <w:rsid w:val="00AB0BC8"/>
    <w:rsid w:val="00AB11CA"/>
    <w:rsid w:val="00AB14D9"/>
    <w:rsid w:val="00AB2100"/>
    <w:rsid w:val="00AB2E8B"/>
    <w:rsid w:val="00AB4AB8"/>
    <w:rsid w:val="00AB655E"/>
    <w:rsid w:val="00AB751D"/>
    <w:rsid w:val="00AC007F"/>
    <w:rsid w:val="00AC2ECD"/>
    <w:rsid w:val="00AC3119"/>
    <w:rsid w:val="00AC482C"/>
    <w:rsid w:val="00AC49FB"/>
    <w:rsid w:val="00AC5A10"/>
    <w:rsid w:val="00AC6C4C"/>
    <w:rsid w:val="00AD0AA3"/>
    <w:rsid w:val="00AD165F"/>
    <w:rsid w:val="00AD3F94"/>
    <w:rsid w:val="00AD4813"/>
    <w:rsid w:val="00AD4A5A"/>
    <w:rsid w:val="00AE27AC"/>
    <w:rsid w:val="00AE3743"/>
    <w:rsid w:val="00AE40E0"/>
    <w:rsid w:val="00AE4DBA"/>
    <w:rsid w:val="00AE4F07"/>
    <w:rsid w:val="00AF17A9"/>
    <w:rsid w:val="00AF1C5D"/>
    <w:rsid w:val="00AF42D7"/>
    <w:rsid w:val="00B00414"/>
    <w:rsid w:val="00B006FE"/>
    <w:rsid w:val="00B007CB"/>
    <w:rsid w:val="00B02AA9"/>
    <w:rsid w:val="00B02B15"/>
    <w:rsid w:val="00B02FA3"/>
    <w:rsid w:val="00B05084"/>
    <w:rsid w:val="00B061B3"/>
    <w:rsid w:val="00B0748A"/>
    <w:rsid w:val="00B10481"/>
    <w:rsid w:val="00B104D7"/>
    <w:rsid w:val="00B157F9"/>
    <w:rsid w:val="00B20256"/>
    <w:rsid w:val="00B20D09"/>
    <w:rsid w:val="00B2763F"/>
    <w:rsid w:val="00B27AAC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6188F"/>
    <w:rsid w:val="00B61E60"/>
    <w:rsid w:val="00B664C7"/>
    <w:rsid w:val="00B739F6"/>
    <w:rsid w:val="00B81A6C"/>
    <w:rsid w:val="00B85DE5"/>
    <w:rsid w:val="00B87530"/>
    <w:rsid w:val="00B90F73"/>
    <w:rsid w:val="00B92BD7"/>
    <w:rsid w:val="00B936D2"/>
    <w:rsid w:val="00B93B59"/>
    <w:rsid w:val="00B9406A"/>
    <w:rsid w:val="00B9484C"/>
    <w:rsid w:val="00B955CA"/>
    <w:rsid w:val="00BA2280"/>
    <w:rsid w:val="00BA2A08"/>
    <w:rsid w:val="00BA56D2"/>
    <w:rsid w:val="00BA6CEC"/>
    <w:rsid w:val="00BA76E0"/>
    <w:rsid w:val="00BB2A25"/>
    <w:rsid w:val="00BB51E9"/>
    <w:rsid w:val="00BC0FDC"/>
    <w:rsid w:val="00BC3053"/>
    <w:rsid w:val="00BC4D2E"/>
    <w:rsid w:val="00BD0337"/>
    <w:rsid w:val="00BD48AC"/>
    <w:rsid w:val="00BD5F1A"/>
    <w:rsid w:val="00BE1234"/>
    <w:rsid w:val="00BE2FA6"/>
    <w:rsid w:val="00BE333F"/>
    <w:rsid w:val="00BE7406"/>
    <w:rsid w:val="00BE7603"/>
    <w:rsid w:val="00BF0D75"/>
    <w:rsid w:val="00BF3279"/>
    <w:rsid w:val="00BF48D7"/>
    <w:rsid w:val="00BF74C7"/>
    <w:rsid w:val="00BF74FD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478"/>
    <w:rsid w:val="00C12107"/>
    <w:rsid w:val="00C13A31"/>
    <w:rsid w:val="00C14D4B"/>
    <w:rsid w:val="00C154BB"/>
    <w:rsid w:val="00C279B5"/>
    <w:rsid w:val="00C27C45"/>
    <w:rsid w:val="00C30E7E"/>
    <w:rsid w:val="00C33212"/>
    <w:rsid w:val="00C3719D"/>
    <w:rsid w:val="00C440F2"/>
    <w:rsid w:val="00C45305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04E"/>
    <w:rsid w:val="00C858B9"/>
    <w:rsid w:val="00C87DA1"/>
    <w:rsid w:val="00C9027A"/>
    <w:rsid w:val="00C9068E"/>
    <w:rsid w:val="00C9073A"/>
    <w:rsid w:val="00C9230E"/>
    <w:rsid w:val="00C93C4B"/>
    <w:rsid w:val="00C944AB"/>
    <w:rsid w:val="00C95B40"/>
    <w:rsid w:val="00CA1ED8"/>
    <w:rsid w:val="00CA5417"/>
    <w:rsid w:val="00CB1F63"/>
    <w:rsid w:val="00CB527F"/>
    <w:rsid w:val="00CB7170"/>
    <w:rsid w:val="00CC040E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4030"/>
    <w:rsid w:val="00CE0424"/>
    <w:rsid w:val="00CE154C"/>
    <w:rsid w:val="00CE4DCE"/>
    <w:rsid w:val="00CE7401"/>
    <w:rsid w:val="00CE7561"/>
    <w:rsid w:val="00CF1354"/>
    <w:rsid w:val="00CF3B1F"/>
    <w:rsid w:val="00CF3BF6"/>
    <w:rsid w:val="00CF42AE"/>
    <w:rsid w:val="00CF625B"/>
    <w:rsid w:val="00CF687E"/>
    <w:rsid w:val="00D0349B"/>
    <w:rsid w:val="00D07A46"/>
    <w:rsid w:val="00D10249"/>
    <w:rsid w:val="00D115C3"/>
    <w:rsid w:val="00D11897"/>
    <w:rsid w:val="00D13135"/>
    <w:rsid w:val="00D13E4E"/>
    <w:rsid w:val="00D22667"/>
    <w:rsid w:val="00D239A7"/>
    <w:rsid w:val="00D23F47"/>
    <w:rsid w:val="00D266DF"/>
    <w:rsid w:val="00D33615"/>
    <w:rsid w:val="00D3427B"/>
    <w:rsid w:val="00D36E71"/>
    <w:rsid w:val="00D37D87"/>
    <w:rsid w:val="00D40B33"/>
    <w:rsid w:val="00D4318F"/>
    <w:rsid w:val="00D438BF"/>
    <w:rsid w:val="00D440F8"/>
    <w:rsid w:val="00D4790C"/>
    <w:rsid w:val="00D479E4"/>
    <w:rsid w:val="00D50F97"/>
    <w:rsid w:val="00D546FF"/>
    <w:rsid w:val="00D55AD5"/>
    <w:rsid w:val="00D55AE9"/>
    <w:rsid w:val="00D576CA"/>
    <w:rsid w:val="00D61AF5"/>
    <w:rsid w:val="00D652B5"/>
    <w:rsid w:val="00D6578E"/>
    <w:rsid w:val="00D66155"/>
    <w:rsid w:val="00D708B0"/>
    <w:rsid w:val="00D77B1D"/>
    <w:rsid w:val="00D8021F"/>
    <w:rsid w:val="00D80383"/>
    <w:rsid w:val="00D80E27"/>
    <w:rsid w:val="00D823C6"/>
    <w:rsid w:val="00D86CA3"/>
    <w:rsid w:val="00D871CE"/>
    <w:rsid w:val="00D9196D"/>
    <w:rsid w:val="00D92982"/>
    <w:rsid w:val="00D94DD4"/>
    <w:rsid w:val="00DA305E"/>
    <w:rsid w:val="00DA5417"/>
    <w:rsid w:val="00DA56E8"/>
    <w:rsid w:val="00DB0A9F"/>
    <w:rsid w:val="00DB1613"/>
    <w:rsid w:val="00DB377D"/>
    <w:rsid w:val="00DB5AB6"/>
    <w:rsid w:val="00DC2D36"/>
    <w:rsid w:val="00DC53EF"/>
    <w:rsid w:val="00DD30A0"/>
    <w:rsid w:val="00DE4D51"/>
    <w:rsid w:val="00DE5608"/>
    <w:rsid w:val="00DE58D0"/>
    <w:rsid w:val="00DE654F"/>
    <w:rsid w:val="00DF0B6E"/>
    <w:rsid w:val="00DF15E0"/>
    <w:rsid w:val="00DF2B27"/>
    <w:rsid w:val="00DF37A0"/>
    <w:rsid w:val="00DF4E9E"/>
    <w:rsid w:val="00E05BF4"/>
    <w:rsid w:val="00E110E7"/>
    <w:rsid w:val="00E11B20"/>
    <w:rsid w:val="00E17FA2"/>
    <w:rsid w:val="00E22330"/>
    <w:rsid w:val="00E231A6"/>
    <w:rsid w:val="00E30B5A"/>
    <w:rsid w:val="00E3123D"/>
    <w:rsid w:val="00E31461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3B75"/>
    <w:rsid w:val="00E54E3B"/>
    <w:rsid w:val="00E57565"/>
    <w:rsid w:val="00E600C1"/>
    <w:rsid w:val="00E61497"/>
    <w:rsid w:val="00E63838"/>
    <w:rsid w:val="00E64434"/>
    <w:rsid w:val="00E6460A"/>
    <w:rsid w:val="00E67BE6"/>
    <w:rsid w:val="00E67C51"/>
    <w:rsid w:val="00E72EFC"/>
    <w:rsid w:val="00E758EC"/>
    <w:rsid w:val="00E8234C"/>
    <w:rsid w:val="00E83AA9"/>
    <w:rsid w:val="00E85928"/>
    <w:rsid w:val="00E87488"/>
    <w:rsid w:val="00E87822"/>
    <w:rsid w:val="00E87ADB"/>
    <w:rsid w:val="00E90395"/>
    <w:rsid w:val="00E90E49"/>
    <w:rsid w:val="00E917F9"/>
    <w:rsid w:val="00E9291C"/>
    <w:rsid w:val="00E93FFE"/>
    <w:rsid w:val="00E94F8A"/>
    <w:rsid w:val="00EA7A41"/>
    <w:rsid w:val="00EB077B"/>
    <w:rsid w:val="00EB1074"/>
    <w:rsid w:val="00EB2DE2"/>
    <w:rsid w:val="00EB2F2B"/>
    <w:rsid w:val="00EB4EA2"/>
    <w:rsid w:val="00EC27C6"/>
    <w:rsid w:val="00EC4207"/>
    <w:rsid w:val="00EC5653"/>
    <w:rsid w:val="00EC71CE"/>
    <w:rsid w:val="00EC7442"/>
    <w:rsid w:val="00ED1006"/>
    <w:rsid w:val="00EE3ACE"/>
    <w:rsid w:val="00EF18FE"/>
    <w:rsid w:val="00EF34F6"/>
    <w:rsid w:val="00EF5787"/>
    <w:rsid w:val="00EF60D0"/>
    <w:rsid w:val="00F0528D"/>
    <w:rsid w:val="00F06C67"/>
    <w:rsid w:val="00F06DFD"/>
    <w:rsid w:val="00F071D1"/>
    <w:rsid w:val="00F07533"/>
    <w:rsid w:val="00F10377"/>
    <w:rsid w:val="00F10629"/>
    <w:rsid w:val="00F154D4"/>
    <w:rsid w:val="00F15FA5"/>
    <w:rsid w:val="00F161B0"/>
    <w:rsid w:val="00F17099"/>
    <w:rsid w:val="00F1733E"/>
    <w:rsid w:val="00F209B7"/>
    <w:rsid w:val="00F213C4"/>
    <w:rsid w:val="00F2376F"/>
    <w:rsid w:val="00F243D8"/>
    <w:rsid w:val="00F273AE"/>
    <w:rsid w:val="00F30828"/>
    <w:rsid w:val="00F313D6"/>
    <w:rsid w:val="00F3515E"/>
    <w:rsid w:val="00F40F0C"/>
    <w:rsid w:val="00F4193D"/>
    <w:rsid w:val="00F47357"/>
    <w:rsid w:val="00F4766C"/>
    <w:rsid w:val="00F507D1"/>
    <w:rsid w:val="00F50A2D"/>
    <w:rsid w:val="00F519CE"/>
    <w:rsid w:val="00F51ADA"/>
    <w:rsid w:val="00F550C2"/>
    <w:rsid w:val="00F601D3"/>
    <w:rsid w:val="00F607C5"/>
    <w:rsid w:val="00F60DEA"/>
    <w:rsid w:val="00F6302A"/>
    <w:rsid w:val="00F64C2B"/>
    <w:rsid w:val="00F651BE"/>
    <w:rsid w:val="00F67F53"/>
    <w:rsid w:val="00F703BE"/>
    <w:rsid w:val="00F70586"/>
    <w:rsid w:val="00F71F69"/>
    <w:rsid w:val="00F72B72"/>
    <w:rsid w:val="00F74BB9"/>
    <w:rsid w:val="00F75582"/>
    <w:rsid w:val="00F76EFA"/>
    <w:rsid w:val="00F80135"/>
    <w:rsid w:val="00F804BE"/>
    <w:rsid w:val="00F817CE"/>
    <w:rsid w:val="00F8456C"/>
    <w:rsid w:val="00F859D8"/>
    <w:rsid w:val="00F868F5"/>
    <w:rsid w:val="00F870DF"/>
    <w:rsid w:val="00F9056A"/>
    <w:rsid w:val="00F90F8D"/>
    <w:rsid w:val="00F92782"/>
    <w:rsid w:val="00F93AA9"/>
    <w:rsid w:val="00F96985"/>
    <w:rsid w:val="00F97838"/>
    <w:rsid w:val="00FA21F9"/>
    <w:rsid w:val="00FA2BB3"/>
    <w:rsid w:val="00FA6FA8"/>
    <w:rsid w:val="00FB4C80"/>
    <w:rsid w:val="00FB657F"/>
    <w:rsid w:val="00FB6A6A"/>
    <w:rsid w:val="00FC0317"/>
    <w:rsid w:val="00FC47EC"/>
    <w:rsid w:val="00FC7429"/>
    <w:rsid w:val="00FD07F6"/>
    <w:rsid w:val="00FD093C"/>
    <w:rsid w:val="00FD1EC8"/>
    <w:rsid w:val="00FD47ED"/>
    <w:rsid w:val="00FD74DB"/>
    <w:rsid w:val="00FD7660"/>
    <w:rsid w:val="00FE0655"/>
    <w:rsid w:val="00FE1237"/>
    <w:rsid w:val="00FE2365"/>
    <w:rsid w:val="00FE3E0D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docId w15:val="{684120D5-75B6-4495-9C56-4D135B1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81D2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81D2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81D2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81D2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81D2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81D2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81D2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81D2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81D2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81D2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1D2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81D2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81D2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81D2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81D2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81D2B"/>
    <w:pPr>
      <w:ind w:left="1418" w:hanging="1418"/>
    </w:pPr>
  </w:style>
  <w:style w:type="paragraph" w:styleId="TOC3">
    <w:name w:val="toc 3"/>
    <w:basedOn w:val="TOC2"/>
    <w:semiHidden/>
    <w:rsid w:val="00081D2B"/>
    <w:pPr>
      <w:ind w:left="1134" w:hanging="1134"/>
    </w:pPr>
  </w:style>
  <w:style w:type="paragraph" w:styleId="TOC2">
    <w:name w:val="toc 2"/>
    <w:basedOn w:val="TOC1"/>
    <w:rsid w:val="00081D2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81D2B"/>
    <w:pPr>
      <w:ind w:left="284"/>
    </w:pPr>
  </w:style>
  <w:style w:type="paragraph" w:styleId="Index1">
    <w:name w:val="index 1"/>
    <w:basedOn w:val="Normal"/>
    <w:semiHidden/>
    <w:rsid w:val="00081D2B"/>
    <w:pPr>
      <w:keepLines/>
      <w:spacing w:after="0"/>
    </w:pPr>
  </w:style>
  <w:style w:type="paragraph" w:styleId="DocumentMap">
    <w:name w:val="Document Map"/>
    <w:basedOn w:val="Normal"/>
    <w:semiHidden/>
    <w:rsid w:val="00081D2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81D2B"/>
    <w:pPr>
      <w:ind w:left="851"/>
    </w:pPr>
  </w:style>
  <w:style w:type="paragraph" w:styleId="ListNumber">
    <w:name w:val="List Number"/>
    <w:basedOn w:val="List"/>
    <w:rsid w:val="00081D2B"/>
  </w:style>
  <w:style w:type="paragraph" w:styleId="List">
    <w:name w:val="List"/>
    <w:basedOn w:val="Normal"/>
    <w:rsid w:val="00081D2B"/>
    <w:pPr>
      <w:ind w:left="568" w:hanging="284"/>
    </w:pPr>
  </w:style>
  <w:style w:type="paragraph" w:styleId="Header">
    <w:name w:val="header"/>
    <w:rsid w:val="00081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81D2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81D2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81D2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81D2B"/>
    <w:pPr>
      <w:ind w:left="1418" w:hanging="1418"/>
    </w:pPr>
  </w:style>
  <w:style w:type="paragraph" w:styleId="TOC6">
    <w:name w:val="toc 6"/>
    <w:basedOn w:val="TOC5"/>
    <w:next w:val="Normal"/>
    <w:semiHidden/>
    <w:rsid w:val="00081D2B"/>
    <w:pPr>
      <w:ind w:left="1985" w:hanging="1985"/>
    </w:pPr>
  </w:style>
  <w:style w:type="paragraph" w:styleId="TOC7">
    <w:name w:val="toc 7"/>
    <w:basedOn w:val="TOC6"/>
    <w:next w:val="Normal"/>
    <w:semiHidden/>
    <w:rsid w:val="00081D2B"/>
    <w:pPr>
      <w:ind w:left="2268" w:hanging="2268"/>
    </w:pPr>
  </w:style>
  <w:style w:type="paragraph" w:styleId="ListBullet2">
    <w:name w:val="List Bullet 2"/>
    <w:basedOn w:val="ListBullet"/>
    <w:rsid w:val="00081D2B"/>
    <w:pPr>
      <w:numPr>
        <w:numId w:val="6"/>
      </w:numPr>
    </w:pPr>
  </w:style>
  <w:style w:type="paragraph" w:styleId="ListBullet">
    <w:name w:val="List Bullet"/>
    <w:basedOn w:val="BodyText"/>
    <w:rsid w:val="00081D2B"/>
    <w:pPr>
      <w:numPr>
        <w:numId w:val="5"/>
      </w:numPr>
    </w:pPr>
  </w:style>
  <w:style w:type="paragraph" w:styleId="ListBullet3">
    <w:name w:val="List Bullet 3"/>
    <w:basedOn w:val="ListBullet2"/>
    <w:rsid w:val="00081D2B"/>
    <w:pPr>
      <w:numPr>
        <w:numId w:val="7"/>
      </w:numPr>
    </w:pPr>
  </w:style>
  <w:style w:type="paragraph" w:customStyle="1" w:styleId="EQ">
    <w:name w:val="EQ"/>
    <w:basedOn w:val="Normal"/>
    <w:next w:val="Normal"/>
    <w:rsid w:val="00081D2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81D2B"/>
    <w:pPr>
      <w:ind w:left="851"/>
    </w:pPr>
  </w:style>
  <w:style w:type="paragraph" w:styleId="List3">
    <w:name w:val="List 3"/>
    <w:basedOn w:val="List2"/>
    <w:rsid w:val="00081D2B"/>
    <w:pPr>
      <w:ind w:left="1135"/>
    </w:pPr>
  </w:style>
  <w:style w:type="paragraph" w:styleId="List4">
    <w:name w:val="List 4"/>
    <w:basedOn w:val="List3"/>
    <w:rsid w:val="00081D2B"/>
    <w:pPr>
      <w:ind w:left="1418"/>
    </w:pPr>
  </w:style>
  <w:style w:type="paragraph" w:styleId="List5">
    <w:name w:val="List 5"/>
    <w:basedOn w:val="List4"/>
    <w:rsid w:val="00081D2B"/>
    <w:pPr>
      <w:ind w:left="1702"/>
    </w:pPr>
  </w:style>
  <w:style w:type="paragraph" w:customStyle="1" w:styleId="EditorsNote">
    <w:name w:val="Editor's Note"/>
    <w:basedOn w:val="Normal"/>
    <w:rsid w:val="00081D2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81D2B"/>
    <w:pPr>
      <w:numPr>
        <w:numId w:val="8"/>
      </w:numPr>
    </w:pPr>
  </w:style>
  <w:style w:type="paragraph" w:styleId="ListBullet5">
    <w:name w:val="List Bullet 5"/>
    <w:basedOn w:val="ListBullet4"/>
    <w:rsid w:val="00081D2B"/>
    <w:pPr>
      <w:numPr>
        <w:numId w:val="4"/>
      </w:numPr>
    </w:pPr>
  </w:style>
  <w:style w:type="paragraph" w:styleId="Footer">
    <w:name w:val="footer"/>
    <w:basedOn w:val="Header"/>
    <w:semiHidden/>
    <w:rsid w:val="00081D2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81D2B"/>
    <w:pPr>
      <w:numPr>
        <w:numId w:val="2"/>
      </w:numPr>
    </w:pPr>
  </w:style>
  <w:style w:type="paragraph" w:styleId="BalloonText">
    <w:name w:val="Balloon Text"/>
    <w:basedOn w:val="Normal"/>
    <w:semiHidden/>
    <w:rsid w:val="00081D2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81D2B"/>
  </w:style>
  <w:style w:type="paragraph" w:styleId="BodyText">
    <w:name w:val="Body Text"/>
    <w:basedOn w:val="Normal"/>
    <w:link w:val="BodyTextChar"/>
    <w:rsid w:val="00081D2B"/>
  </w:style>
  <w:style w:type="character" w:styleId="Hyperlink">
    <w:name w:val="Hyperlink"/>
    <w:uiPriority w:val="99"/>
    <w:rsid w:val="00081D2B"/>
    <w:rPr>
      <w:color w:val="0000FF"/>
      <w:u w:val="single"/>
      <w:lang w:val="en-GB"/>
    </w:rPr>
  </w:style>
  <w:style w:type="character" w:styleId="FollowedHyperlink">
    <w:name w:val="FollowedHyperlink"/>
    <w:semiHidden/>
    <w:rsid w:val="00081D2B"/>
    <w:rPr>
      <w:color w:val="FF0000"/>
      <w:u w:val="single"/>
    </w:rPr>
  </w:style>
  <w:style w:type="character" w:styleId="CommentReference">
    <w:name w:val="annotation reference"/>
    <w:semiHidden/>
    <w:rsid w:val="00081D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81D2B"/>
  </w:style>
  <w:style w:type="paragraph" w:styleId="CommentSubject">
    <w:name w:val="annotation subject"/>
    <w:basedOn w:val="CommentText"/>
    <w:next w:val="CommentText"/>
    <w:semiHidden/>
    <w:rsid w:val="00081D2B"/>
    <w:rPr>
      <w:b/>
      <w:bCs/>
    </w:rPr>
  </w:style>
  <w:style w:type="character" w:customStyle="1" w:styleId="Heading1Char">
    <w:name w:val="Heading 1 Char"/>
    <w:link w:val="Heading1"/>
    <w:rsid w:val="00081D2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081D2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81D2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81D2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81D2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81D2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81D2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81D2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81D2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81D2B"/>
    <w:pPr>
      <w:spacing w:after="0"/>
    </w:pPr>
  </w:style>
  <w:style w:type="paragraph" w:customStyle="1" w:styleId="TAL">
    <w:name w:val="TAL"/>
    <w:basedOn w:val="Normal"/>
    <w:link w:val="TALChar"/>
    <w:rsid w:val="00081D2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81D2B"/>
    <w:pPr>
      <w:jc w:val="center"/>
    </w:pPr>
  </w:style>
  <w:style w:type="paragraph" w:customStyle="1" w:styleId="TAH">
    <w:name w:val="TAH"/>
    <w:basedOn w:val="TAC"/>
    <w:link w:val="TAHChar"/>
    <w:rsid w:val="00081D2B"/>
    <w:rPr>
      <w:b/>
    </w:rPr>
  </w:style>
  <w:style w:type="paragraph" w:customStyle="1" w:styleId="TAN">
    <w:name w:val="TAN"/>
    <w:basedOn w:val="TAL"/>
    <w:rsid w:val="00081D2B"/>
    <w:pPr>
      <w:ind w:left="851" w:hanging="851"/>
    </w:pPr>
  </w:style>
  <w:style w:type="paragraph" w:customStyle="1" w:styleId="TAR">
    <w:name w:val="TAR"/>
    <w:basedOn w:val="TAL"/>
    <w:rsid w:val="00081D2B"/>
    <w:pPr>
      <w:jc w:val="right"/>
    </w:pPr>
  </w:style>
  <w:style w:type="paragraph" w:customStyle="1" w:styleId="TH">
    <w:name w:val="TH"/>
    <w:basedOn w:val="Normal"/>
    <w:link w:val="THChar"/>
    <w:rsid w:val="00081D2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081D2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81D2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81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81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81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81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81D2B"/>
  </w:style>
  <w:style w:type="paragraph" w:customStyle="1" w:styleId="ZH">
    <w:name w:val="ZH"/>
    <w:rsid w:val="00081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81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81D2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81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81D2B"/>
    <w:pPr>
      <w:framePr w:wrap="notBeside" w:y="16161"/>
    </w:pPr>
  </w:style>
  <w:style w:type="paragraph" w:customStyle="1" w:styleId="FP">
    <w:name w:val="FP"/>
    <w:basedOn w:val="Normal"/>
    <w:rsid w:val="00081D2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81D2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81D2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rsid w:val="006E7E3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/>
    </EriCOLLOrganizationUnitTaxHTField0>
    <EriCOLLCategoryTaxHTField0 xmlns="7789c8df-cd92-43c1-8a83-195dbc0f0a0a">
      <Terms xmlns="http://schemas.microsoft.com/office/infopath/2007/PartnerControls"/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5NUHHDQN7SK2-1-181209</_dlc_DocId>
    <_dlc_DocIdUrl xmlns="08b2df90-05d3-4030-90d4-c9feeb4a1cd9">
      <Url>https://ericoll.internal.ericsson.com/sites/star/_layouts/DocIdRedir.aspx?ID=5NUHHDQN7SK2-1-181209</Url>
      <Description>5NUHHDQN7SK2-1-181209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28C18542-8A0E-4132-86EC-279E4819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3</cp:revision>
  <cp:lastPrinted>2008-01-31T16:09:00Z</cp:lastPrinted>
  <dcterms:created xsi:type="dcterms:W3CDTF">2017-09-28T15:59:00Z</dcterms:created>
  <dcterms:modified xsi:type="dcterms:W3CDTF">2017-09-28T23:34:00Z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ItemGuid">
    <vt:lpwstr>dfa442be-3b5f-4d48-8f99-af835e9a8315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0x010100BB337192E63E44A7A744CE7393F41F4E00FC0FCE182CC02C499F00CC069FCD5A25</vt:lpwstr>
  </property>
</Properties>
</file>